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both"/>
        <w:rPr>
          <w:rFonts w:ascii="仿宋_GB2312" w:hAnsi="仿宋" w:eastAsia="仿宋_GB2312"/>
          <w:color w:val="auto"/>
          <w:sz w:val="36"/>
          <w:szCs w:val="36"/>
        </w:rPr>
      </w:pPr>
    </w:p>
    <w:p>
      <w:pPr>
        <w:spacing w:line="560" w:lineRule="exact"/>
        <w:ind w:firstLine="880" w:firstLineChars="200"/>
        <w:jc w:val="center"/>
        <w:rPr>
          <w:rFonts w:ascii="黑体" w:hAnsi="黑体" w:eastAsia="黑体"/>
          <w:color w:val="auto"/>
          <w:sz w:val="44"/>
          <w:szCs w:val="44"/>
        </w:rPr>
      </w:pPr>
      <w:r>
        <w:rPr>
          <w:rFonts w:hint="eastAsia" w:ascii="黑体" w:hAnsi="黑体" w:eastAsia="黑体"/>
          <w:color w:val="auto"/>
          <w:sz w:val="44"/>
          <w:szCs w:val="44"/>
        </w:rPr>
        <w:t>2017年度</w:t>
      </w:r>
      <w:r>
        <w:rPr>
          <w:rFonts w:hint="eastAsia" w:ascii="黑体" w:hAnsi="黑体" w:eastAsia="黑体"/>
          <w:color w:val="auto"/>
          <w:sz w:val="44"/>
          <w:szCs w:val="44"/>
          <w:lang w:eastAsia="zh-CN"/>
        </w:rPr>
        <w:t>霸州人民政府信访局</w:t>
      </w:r>
      <w:r>
        <w:rPr>
          <w:rFonts w:hint="eastAsia" w:ascii="黑体" w:hAnsi="黑体" w:eastAsia="黑体"/>
          <w:color w:val="auto"/>
          <w:sz w:val="44"/>
          <w:szCs w:val="44"/>
        </w:rPr>
        <w:t>决算信息公开情况说明</w:t>
      </w:r>
    </w:p>
    <w:p>
      <w:pPr>
        <w:widowControl/>
        <w:spacing w:line="560" w:lineRule="exact"/>
        <w:ind w:firstLine="640" w:firstLineChars="200"/>
        <w:rPr>
          <w:rFonts w:ascii="仿宋_GB2312" w:hAnsi="仿宋" w:eastAsia="仿宋_GB2312"/>
          <w:color w:val="auto"/>
          <w:sz w:val="32"/>
          <w:szCs w:val="32"/>
        </w:rPr>
      </w:pPr>
      <w:r>
        <w:rPr>
          <w:rFonts w:hint="eastAsia" w:ascii="仿宋_GB2312" w:hAnsi="仿宋" w:eastAsia="仿宋_GB2312"/>
          <w:color w:val="auto"/>
          <w:sz w:val="32"/>
          <w:szCs w:val="32"/>
        </w:rPr>
        <w:t>按照《预算法》、《河北省财政厅关于印发&lt;河北省预决算公开操作规程实施细则&gt;的通知》（冀财预</w:t>
      </w:r>
      <w:r>
        <w:rPr>
          <w:rFonts w:hint="eastAsia" w:ascii="宋体" w:hAnsi="宋体" w:cs="宋体"/>
          <w:color w:val="auto"/>
          <w:sz w:val="32"/>
          <w:szCs w:val="32"/>
        </w:rPr>
        <w:t>﹝</w:t>
      </w:r>
      <w:r>
        <w:rPr>
          <w:rFonts w:hint="eastAsia" w:ascii="仿宋_GB2312" w:hAnsi="仿宋" w:eastAsia="仿宋_GB2312"/>
          <w:color w:val="auto"/>
          <w:sz w:val="32"/>
          <w:szCs w:val="32"/>
        </w:rPr>
        <w:t>2016</w:t>
      </w:r>
      <w:r>
        <w:rPr>
          <w:rFonts w:hint="eastAsia" w:ascii="宋体" w:hAnsi="宋体" w:cs="宋体"/>
          <w:color w:val="auto"/>
          <w:sz w:val="32"/>
          <w:szCs w:val="32"/>
        </w:rPr>
        <w:t>﹞</w:t>
      </w:r>
      <w:r>
        <w:rPr>
          <w:rFonts w:hint="eastAsia" w:ascii="仿宋_GB2312" w:hAnsi="仿宋" w:eastAsia="仿宋_GB2312"/>
          <w:color w:val="auto"/>
          <w:sz w:val="32"/>
          <w:szCs w:val="32"/>
        </w:rPr>
        <w:t>129号）等规定，现将2017年部门决算公开如下：</w:t>
      </w:r>
    </w:p>
    <w:p>
      <w:pPr>
        <w:widowControl/>
        <w:numPr>
          <w:ilvl w:val="0"/>
          <w:numId w:val="1"/>
        </w:numPr>
        <w:spacing w:line="560" w:lineRule="exact"/>
        <w:ind w:firstLine="640" w:firstLineChars="200"/>
        <w:rPr>
          <w:rFonts w:ascii="黑体" w:hAnsi="黑体" w:eastAsia="黑体"/>
          <w:color w:val="auto"/>
          <w:sz w:val="32"/>
          <w:szCs w:val="32"/>
        </w:rPr>
      </w:pPr>
      <w:r>
        <w:rPr>
          <w:rFonts w:hint="eastAsia" w:ascii="黑体" w:hAnsi="黑体" w:eastAsia="黑体"/>
          <w:color w:val="auto"/>
          <w:sz w:val="32"/>
          <w:szCs w:val="32"/>
        </w:rPr>
        <w:t>部门职责及机构设置情况</w:t>
      </w:r>
    </w:p>
    <w:p>
      <w:pPr>
        <w:widowControl/>
        <w:spacing w:line="560" w:lineRule="exact"/>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部门职责：</w:t>
      </w:r>
    </w:p>
    <w:p>
      <w:pPr>
        <w:autoSpaceDE w:val="0"/>
        <w:autoSpaceDN w:val="0"/>
        <w:adjustRightInd w:val="0"/>
        <w:spacing w:line="52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中共霸州市委、霸州市人民政府信访局是代表市委、市政府处理人民群众来信，接待群众来访事项，保障信访渠道畅通，指导、协调信访工作的综合部门，主要职责是：</w:t>
      </w:r>
    </w:p>
    <w:p>
      <w:pPr>
        <w:autoSpaceDE w:val="0"/>
        <w:autoSpaceDN w:val="0"/>
        <w:adjustRightInd w:val="0"/>
        <w:spacing w:line="52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(一)、负责处理人民群众给市委、市政府的来信，接待要求当面向市委、市政府领导同志反映意愿的人民群众，办理上级领导机关转来的我市群众信件。</w:t>
      </w:r>
    </w:p>
    <w:p>
      <w:pPr>
        <w:autoSpaceDE w:val="0"/>
        <w:autoSpaceDN w:val="0"/>
        <w:adjustRightInd w:val="0"/>
        <w:spacing w:line="52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(二)、承办市委、市政府领导同志交办的信访事项，督促检查领导同志有关批示的落实情况，向乡镇区办和市直部门交办信访事项，督促检查重要信访事项的处理和落实。</w:t>
      </w:r>
    </w:p>
    <w:p>
      <w:pPr>
        <w:autoSpaceDE w:val="0"/>
        <w:autoSpaceDN w:val="0"/>
        <w:adjustRightInd w:val="0"/>
        <w:spacing w:line="52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(三)、协调处理跨乡镇区办、跨部门的重要信访问题，协调处理集体访和异常、突发信访事件，协调乡镇区办和市直部门的信访工作。</w:t>
      </w:r>
    </w:p>
    <w:p>
      <w:pPr>
        <w:autoSpaceDE w:val="0"/>
        <w:autoSpaceDN w:val="0"/>
        <w:adjustRightInd w:val="0"/>
        <w:spacing w:line="52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(四)、督促和检查指导全市的信访工作，抓好全市信访工作系统基础建设，组织信访干部培训。</w:t>
      </w:r>
    </w:p>
    <w:p>
      <w:pPr>
        <w:autoSpaceDE w:val="0"/>
        <w:autoSpaceDN w:val="0"/>
        <w:adjustRightInd w:val="0"/>
        <w:spacing w:line="52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(五)、调查研究和综合分析全市的信访形势和信访工作现状，并向市委、市政府提出改进和加强信访工作的意见和建议，总结和推广各乡镇区办、市直各部门信访工作经验，反馈信访信息。</w:t>
      </w:r>
    </w:p>
    <w:p>
      <w:pPr>
        <w:autoSpaceDE w:val="0"/>
        <w:autoSpaceDN w:val="0"/>
        <w:adjustRightInd w:val="0"/>
        <w:spacing w:line="520" w:lineRule="exact"/>
        <w:ind w:firstLine="640" w:firstLineChars="200"/>
        <w:jc w:val="left"/>
        <w:rPr>
          <w:rFonts w:ascii="仿宋" w:hAnsi="仿宋" w:eastAsia="仿宋" w:cs="仿宋"/>
          <w:color w:val="auto"/>
          <w:sz w:val="32"/>
          <w:szCs w:val="32"/>
        </w:rPr>
      </w:pPr>
      <w:r>
        <w:rPr>
          <w:rFonts w:hint="eastAsia" w:ascii="仿宋" w:hAnsi="仿宋" w:eastAsia="仿宋" w:cs="仿宋"/>
          <w:color w:val="auto"/>
          <w:sz w:val="32"/>
          <w:szCs w:val="32"/>
        </w:rPr>
        <w:t>(六)、</w:t>
      </w:r>
      <w:r>
        <w:rPr>
          <w:rFonts w:ascii="仿宋" w:hAnsi="仿宋" w:eastAsia="仿宋" w:cs="仿宋"/>
          <w:color w:val="auto"/>
          <w:sz w:val="32"/>
          <w:szCs w:val="32"/>
        </w:rPr>
        <w:t xml:space="preserve"> </w:t>
      </w:r>
      <w:r>
        <w:rPr>
          <w:rFonts w:hint="eastAsia" w:ascii="仿宋" w:hAnsi="仿宋" w:eastAsia="仿宋" w:cs="仿宋"/>
          <w:color w:val="auto"/>
          <w:sz w:val="32"/>
          <w:szCs w:val="32"/>
        </w:rPr>
        <w:t>研究提出全市信访工作的思路，拟定信访工作的有关政策、规定；参与组织、协调、指导全市社会治安综合治理和维护社会政治稳定工作，协助保障国家、省、廊坊</w:t>
      </w:r>
      <w:r>
        <w:rPr>
          <w:rFonts w:ascii="仿宋" w:hAnsi="仿宋" w:eastAsia="仿宋" w:cs="仿宋"/>
          <w:color w:val="auto"/>
          <w:sz w:val="32"/>
          <w:szCs w:val="32"/>
        </w:rPr>
        <w:t xml:space="preserve"> </w:t>
      </w:r>
      <w:r>
        <w:rPr>
          <w:rFonts w:hint="eastAsia" w:ascii="仿宋" w:hAnsi="仿宋" w:eastAsia="仿宋" w:cs="仿宋"/>
          <w:color w:val="auto"/>
          <w:sz w:val="32"/>
          <w:szCs w:val="32"/>
        </w:rPr>
        <w:t>市和本市重大政治活动的顺利进行，参与处理影响社会政治稳定的突发性、群体性事件；负责对乡镇（区、办）党委、政府和市直有关部门信访工作年度责任目标的</w:t>
      </w:r>
      <w:r>
        <w:rPr>
          <w:rFonts w:ascii="仿宋" w:hAnsi="仿宋" w:eastAsia="仿宋" w:cs="仿宋"/>
          <w:color w:val="auto"/>
          <w:sz w:val="32"/>
          <w:szCs w:val="32"/>
        </w:rPr>
        <w:t xml:space="preserve"> </w:t>
      </w:r>
      <w:r>
        <w:rPr>
          <w:rFonts w:hint="eastAsia" w:ascii="仿宋" w:hAnsi="仿宋" w:eastAsia="仿宋" w:cs="仿宋"/>
          <w:color w:val="auto"/>
          <w:sz w:val="32"/>
          <w:szCs w:val="32"/>
        </w:rPr>
        <w:t>考核，负责对全市社会治安综合治理和维护社会政治稳定年度责任目标中有关信访工作的考核。</w:t>
      </w:r>
    </w:p>
    <w:p>
      <w:pPr>
        <w:autoSpaceDE w:val="0"/>
        <w:autoSpaceDN w:val="0"/>
        <w:adjustRightInd w:val="0"/>
        <w:spacing w:line="52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(七)、负责市委、市政府及领导同志交办的其他事项。</w:t>
      </w:r>
    </w:p>
    <w:p>
      <w:pPr>
        <w:widowControl/>
        <w:spacing w:line="560" w:lineRule="exact"/>
        <w:ind w:firstLine="560" w:firstLineChars="200"/>
        <w:rPr>
          <w:rFonts w:ascii="黑体" w:hAnsi="黑体" w:eastAsia="黑体" w:cs="黑体"/>
          <w:color w:val="auto"/>
          <w:sz w:val="28"/>
          <w:szCs w:val="28"/>
        </w:rPr>
      </w:pPr>
      <w:r>
        <w:rPr>
          <w:rFonts w:hint="eastAsia" w:ascii="黑体" w:hAnsi="黑体" w:eastAsia="黑体" w:cs="黑体"/>
          <w:color w:val="auto"/>
          <w:sz w:val="28"/>
          <w:szCs w:val="28"/>
        </w:rPr>
        <w:t>机构设置：</w:t>
      </w:r>
    </w:p>
    <w:p>
      <w:pPr>
        <w:spacing w:line="560" w:lineRule="exact"/>
        <w:ind w:firstLine="560" w:firstLineChars="200"/>
        <w:outlineLvl w:val="0"/>
        <w:rPr>
          <w:rFonts w:hint="eastAsia" w:eastAsia="方正小标宋_GBK"/>
          <w:color w:val="auto"/>
          <w:sz w:val="28"/>
          <w:szCs w:val="28"/>
        </w:rPr>
      </w:pPr>
      <w:r>
        <w:rPr>
          <w:rFonts w:eastAsia="方正小标宋_GBK"/>
          <w:color w:val="auto"/>
          <w:sz w:val="28"/>
          <w:szCs w:val="28"/>
        </w:rPr>
        <w:t>部门机构设置情况</w:t>
      </w:r>
    </w:p>
    <w:tbl>
      <w:tblPr>
        <w:tblStyle w:val="6"/>
        <w:tblW w:w="9593" w:type="dxa"/>
        <w:jc w:val="center"/>
        <w:tblInd w:w="-873" w:type="dxa"/>
        <w:tblLayout w:type="fixed"/>
        <w:tblCellMar>
          <w:top w:w="0" w:type="dxa"/>
          <w:left w:w="0" w:type="dxa"/>
          <w:bottom w:w="0" w:type="dxa"/>
          <w:right w:w="0" w:type="dxa"/>
        </w:tblCellMar>
      </w:tblPr>
      <w:tblGrid>
        <w:gridCol w:w="2599"/>
        <w:gridCol w:w="1902"/>
        <w:gridCol w:w="1902"/>
        <w:gridCol w:w="3190"/>
      </w:tblGrid>
      <w:tr>
        <w:tblPrEx>
          <w:tblLayout w:type="fixed"/>
          <w:tblCellMar>
            <w:top w:w="0" w:type="dxa"/>
            <w:left w:w="0" w:type="dxa"/>
            <w:bottom w:w="0" w:type="dxa"/>
            <w:right w:w="0" w:type="dxa"/>
          </w:tblCellMar>
        </w:tblPrEx>
        <w:trPr>
          <w:trHeight w:val="304" w:hRule="atLeast"/>
          <w:jc w:val="center"/>
        </w:trPr>
        <w:tc>
          <w:tcPr>
            <w:tcW w:w="259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ind w:left="0" w:leftChars="0" w:right="0" w:rightChars="0" w:firstLine="0" w:firstLineChars="0"/>
              <w:jc w:val="center"/>
              <w:rPr>
                <w:rFonts w:ascii="仿宋_GB2312" w:hAnsi="楷体" w:eastAsia="仿宋_GB2312"/>
                <w:color w:val="auto"/>
                <w:sz w:val="24"/>
              </w:rPr>
            </w:pPr>
            <w:r>
              <w:rPr>
                <w:rFonts w:hint="eastAsia" w:ascii="仿宋_GB2312" w:hAnsi="楷体" w:eastAsia="仿宋_GB2312"/>
                <w:color w:val="auto"/>
                <w:sz w:val="24"/>
              </w:rPr>
              <w:t>单位名称</w:t>
            </w:r>
          </w:p>
        </w:tc>
        <w:tc>
          <w:tcPr>
            <w:tcW w:w="19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ind w:left="0" w:leftChars="0" w:right="0" w:rightChars="0" w:firstLine="0" w:firstLineChars="0"/>
              <w:jc w:val="center"/>
              <w:rPr>
                <w:rFonts w:ascii="仿宋_GB2312" w:hAnsi="楷体" w:eastAsia="仿宋_GB2312"/>
                <w:color w:val="auto"/>
                <w:sz w:val="24"/>
              </w:rPr>
            </w:pPr>
            <w:r>
              <w:rPr>
                <w:rFonts w:hint="eastAsia" w:ascii="仿宋_GB2312" w:hAnsi="楷体" w:eastAsia="仿宋_GB2312"/>
                <w:color w:val="auto"/>
                <w:sz w:val="24"/>
              </w:rPr>
              <w:t>单位性质</w:t>
            </w:r>
          </w:p>
        </w:tc>
        <w:tc>
          <w:tcPr>
            <w:tcW w:w="190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ind w:left="0" w:leftChars="0" w:right="0" w:rightChars="0" w:firstLine="0" w:firstLineChars="0"/>
              <w:jc w:val="center"/>
              <w:rPr>
                <w:rFonts w:ascii="仿宋_GB2312" w:hAnsi="楷体" w:eastAsia="仿宋_GB2312"/>
                <w:color w:val="auto"/>
                <w:sz w:val="24"/>
              </w:rPr>
            </w:pPr>
            <w:r>
              <w:rPr>
                <w:rFonts w:hint="eastAsia" w:ascii="仿宋_GB2312" w:hAnsi="楷体" w:eastAsia="仿宋_GB2312"/>
                <w:color w:val="auto"/>
                <w:sz w:val="24"/>
              </w:rPr>
              <w:t>单位规格</w:t>
            </w:r>
          </w:p>
        </w:tc>
        <w:tc>
          <w:tcPr>
            <w:tcW w:w="319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ind w:left="0" w:leftChars="0" w:right="0" w:rightChars="0" w:firstLine="0" w:firstLineChars="0"/>
              <w:jc w:val="center"/>
              <w:rPr>
                <w:rFonts w:ascii="仿宋_GB2312" w:hAnsi="楷体" w:eastAsia="仿宋_GB2312"/>
                <w:color w:val="auto"/>
                <w:sz w:val="24"/>
              </w:rPr>
            </w:pPr>
            <w:r>
              <w:rPr>
                <w:rFonts w:hint="eastAsia" w:ascii="仿宋_GB2312" w:hAnsi="楷体" w:eastAsia="仿宋_GB2312"/>
                <w:color w:val="auto"/>
                <w:sz w:val="24"/>
              </w:rPr>
              <w:t>经费保障形式</w:t>
            </w:r>
          </w:p>
        </w:tc>
      </w:tr>
      <w:tr>
        <w:tblPrEx>
          <w:tblLayout w:type="fixed"/>
          <w:tblCellMar>
            <w:top w:w="0" w:type="dxa"/>
            <w:left w:w="0" w:type="dxa"/>
            <w:bottom w:w="0" w:type="dxa"/>
            <w:right w:w="0" w:type="dxa"/>
          </w:tblCellMar>
        </w:tblPrEx>
        <w:trPr>
          <w:jc w:val="center"/>
        </w:trPr>
        <w:tc>
          <w:tcPr>
            <w:tcW w:w="259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ind w:left="0" w:leftChars="0" w:right="0" w:rightChars="0" w:firstLine="0" w:firstLineChars="0"/>
              <w:jc w:val="center"/>
              <w:rPr>
                <w:rFonts w:ascii="仿宋_GB2312" w:hAnsi="楷体" w:eastAsia="仿宋_GB2312"/>
                <w:color w:val="auto"/>
                <w:sz w:val="24"/>
              </w:rPr>
            </w:pPr>
            <w:r>
              <w:rPr>
                <w:rFonts w:hint="eastAsia" w:ascii="仿宋_GB2312" w:hAnsi="楷体" w:eastAsia="仿宋_GB2312"/>
                <w:color w:val="auto"/>
                <w:sz w:val="21"/>
                <w:szCs w:val="21"/>
              </w:rPr>
              <w:t>霸州市</w:t>
            </w:r>
            <w:r>
              <w:rPr>
                <w:rFonts w:hint="eastAsia" w:ascii="仿宋_GB2312" w:hAnsi="楷体" w:eastAsia="仿宋_GB2312"/>
                <w:color w:val="auto"/>
                <w:sz w:val="21"/>
                <w:szCs w:val="21"/>
                <w:lang w:val="en-US" w:eastAsia="zh-CN"/>
              </w:rPr>
              <w:t>人民政府</w:t>
            </w:r>
            <w:r>
              <w:rPr>
                <w:rFonts w:hint="eastAsia" w:ascii="仿宋_GB2312" w:hAnsi="楷体" w:eastAsia="仿宋_GB2312"/>
                <w:color w:val="auto"/>
                <w:sz w:val="21"/>
                <w:szCs w:val="21"/>
              </w:rPr>
              <w:t>信访局</w:t>
            </w:r>
          </w:p>
        </w:tc>
        <w:tc>
          <w:tcPr>
            <w:tcW w:w="190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ind w:left="0" w:leftChars="0" w:right="0" w:rightChars="0" w:firstLine="0" w:firstLineChars="0"/>
              <w:jc w:val="center"/>
              <w:rPr>
                <w:rFonts w:ascii="仿宋_GB2312" w:hAnsi="楷体" w:eastAsia="仿宋_GB2312"/>
                <w:color w:val="auto"/>
                <w:sz w:val="21"/>
                <w:szCs w:val="21"/>
              </w:rPr>
            </w:pPr>
            <w:r>
              <w:rPr>
                <w:rFonts w:hint="eastAsia" w:ascii="仿宋_GB2312" w:hAnsi="楷体" w:eastAsia="仿宋_GB2312"/>
                <w:color w:val="auto"/>
                <w:sz w:val="21"/>
                <w:szCs w:val="21"/>
              </w:rPr>
              <w:t>行政</w:t>
            </w:r>
          </w:p>
        </w:tc>
        <w:tc>
          <w:tcPr>
            <w:tcW w:w="1902"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ind w:left="0" w:leftChars="0" w:right="0" w:rightChars="0" w:firstLine="0" w:firstLineChars="0"/>
              <w:jc w:val="center"/>
              <w:rPr>
                <w:rFonts w:ascii="仿宋_GB2312" w:hAnsi="楷体" w:eastAsia="仿宋_GB2312"/>
                <w:color w:val="auto"/>
                <w:sz w:val="21"/>
                <w:szCs w:val="21"/>
              </w:rPr>
            </w:pPr>
            <w:r>
              <w:rPr>
                <w:rFonts w:hint="eastAsia" w:ascii="仿宋_GB2312" w:hAnsi="楷体" w:eastAsia="仿宋_GB2312"/>
                <w:color w:val="auto"/>
                <w:sz w:val="21"/>
                <w:szCs w:val="21"/>
              </w:rPr>
              <w:t>正科级</w:t>
            </w:r>
          </w:p>
        </w:tc>
        <w:tc>
          <w:tcPr>
            <w:tcW w:w="3190" w:type="dxa"/>
            <w:tcBorders>
              <w:top w:val="nil"/>
              <w:left w:val="nil"/>
              <w:bottom w:val="single" w:color="auto" w:sz="8" w:space="0"/>
              <w:right w:val="single" w:color="auto" w:sz="8" w:space="0"/>
            </w:tcBorders>
            <w:tcMar>
              <w:top w:w="0" w:type="dxa"/>
              <w:left w:w="108" w:type="dxa"/>
              <w:bottom w:w="0" w:type="dxa"/>
              <w:right w:w="108" w:type="dxa"/>
            </w:tcMar>
            <w:vAlign w:val="center"/>
          </w:tcPr>
          <w:p>
            <w:pPr>
              <w:autoSpaceDE w:val="0"/>
              <w:autoSpaceDN w:val="0"/>
              <w:adjustRightInd w:val="0"/>
              <w:ind w:left="0" w:leftChars="0" w:right="0" w:rightChars="0" w:firstLine="0" w:firstLineChars="0"/>
              <w:jc w:val="center"/>
              <w:rPr>
                <w:rFonts w:hint="eastAsia" w:ascii="仿宋_GB2312" w:hAnsi="楷体" w:eastAsia="仿宋_GB2312"/>
                <w:color w:val="auto"/>
                <w:sz w:val="21"/>
                <w:szCs w:val="21"/>
                <w:lang w:eastAsia="zh-CN"/>
              </w:rPr>
            </w:pPr>
            <w:r>
              <w:rPr>
                <w:rFonts w:hint="eastAsia" w:ascii="仿宋_GB2312" w:hAnsi="楷体" w:eastAsia="仿宋_GB2312"/>
                <w:color w:val="auto"/>
                <w:sz w:val="21"/>
                <w:szCs w:val="21"/>
                <w:lang w:val="en-US" w:eastAsia="zh-CN"/>
              </w:rPr>
              <w:t>财政拨款</w:t>
            </w:r>
          </w:p>
        </w:tc>
      </w:tr>
    </w:tbl>
    <w:p>
      <w:pPr>
        <w:spacing w:line="560" w:lineRule="exact"/>
        <w:ind w:firstLine="560" w:firstLineChars="200"/>
        <w:rPr>
          <w:rFonts w:ascii="仿宋" w:hAnsi="仿宋" w:eastAsia="仿宋" w:cs="仿宋"/>
          <w:b w:val="0"/>
          <w:bCs w:val="0"/>
          <w:color w:val="auto"/>
          <w:sz w:val="28"/>
          <w:szCs w:val="28"/>
        </w:rPr>
      </w:pPr>
      <w:r>
        <w:rPr>
          <w:rFonts w:hint="eastAsia" w:ascii="仿宋" w:hAnsi="仿宋" w:eastAsia="仿宋" w:cs="仿宋"/>
          <w:b w:val="0"/>
          <w:bCs w:val="0"/>
          <w:color w:val="auto"/>
          <w:sz w:val="28"/>
          <w:szCs w:val="28"/>
          <w:lang w:val="en-US" w:eastAsia="zh-CN"/>
        </w:rPr>
        <w:t>注：</w:t>
      </w:r>
      <w:r>
        <w:rPr>
          <w:rFonts w:hint="eastAsia" w:ascii="仿宋" w:hAnsi="仿宋" w:eastAsia="仿宋" w:cs="仿宋"/>
          <w:b w:val="0"/>
          <w:bCs w:val="0"/>
          <w:color w:val="auto"/>
          <w:sz w:val="28"/>
          <w:szCs w:val="28"/>
        </w:rPr>
        <w:t>我单位为1级预算单位，无下属单位，无汇总决算。</w:t>
      </w:r>
    </w:p>
    <w:p>
      <w:pPr>
        <w:spacing w:line="560" w:lineRule="exact"/>
        <w:ind w:firstLine="560" w:firstLineChars="200"/>
        <w:rPr>
          <w:rFonts w:ascii="黑体" w:hAnsi="黑体" w:eastAsia="黑体"/>
          <w:color w:val="auto"/>
          <w:sz w:val="32"/>
          <w:szCs w:val="32"/>
        </w:rPr>
      </w:pPr>
      <w:r>
        <w:rPr>
          <w:rFonts w:hint="eastAsia" w:eastAsia="黑体"/>
          <w:color w:val="auto"/>
          <w:sz w:val="28"/>
          <w:szCs w:val="28"/>
        </w:rPr>
        <w:t>二、</w:t>
      </w:r>
      <w:r>
        <w:rPr>
          <w:rFonts w:hint="eastAsia" w:ascii="黑体" w:hAnsi="黑体" w:eastAsia="黑体"/>
          <w:color w:val="auto"/>
          <w:sz w:val="32"/>
          <w:szCs w:val="32"/>
        </w:rPr>
        <w:t>部门决算报表</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(一)、收入支出决算总表</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(二)、收入决算表</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(三)、支出决算表</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(四)、财政拨款收入支出决算总表</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(五)、一般公共预算财政拨款支出决算表</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(六)、一般公共预算财政拨款基本支出决算表</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(七)、政府性基金预算财政拨款收入支出决算表</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0"/>
        </w:rPr>
        <w:t>(八)、国有资本经营预算财政拨款支出决算表</w:t>
      </w:r>
    </w:p>
    <w:p>
      <w:pPr>
        <w:spacing w:line="52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(九)、“三公”经费及相关信息统计表</w:t>
      </w:r>
    </w:p>
    <w:p>
      <w:pPr>
        <w:spacing w:line="520" w:lineRule="exact"/>
        <w:ind w:firstLine="640" w:firstLineChars="200"/>
        <w:rPr>
          <w:rFonts w:ascii="仿宋" w:hAnsi="仿宋" w:eastAsia="仿宋" w:cs="仿宋"/>
          <w:color w:val="auto"/>
          <w:sz w:val="30"/>
          <w:szCs w:val="30"/>
        </w:rPr>
      </w:pPr>
      <w:r>
        <w:rPr>
          <w:rFonts w:hint="eastAsia" w:ascii="仿宋" w:hAnsi="仿宋" w:eastAsia="仿宋"/>
          <w:color w:val="auto"/>
          <w:sz w:val="32"/>
          <w:szCs w:val="32"/>
        </w:rPr>
        <w:t>(十)、政府采购情况表</w:t>
      </w:r>
    </w:p>
    <w:p>
      <w:pPr>
        <w:spacing w:line="560" w:lineRule="exact"/>
        <w:ind w:firstLine="640" w:firstLineChars="200"/>
        <w:rPr>
          <w:rFonts w:ascii="黑体" w:hAnsi="黑体" w:eastAsia="黑体"/>
          <w:color w:val="auto"/>
          <w:sz w:val="32"/>
          <w:szCs w:val="32"/>
        </w:rPr>
      </w:pPr>
      <w:r>
        <w:rPr>
          <w:rFonts w:hint="eastAsia" w:eastAsia="黑体"/>
          <w:color w:val="auto"/>
          <w:sz w:val="32"/>
          <w:szCs w:val="32"/>
        </w:rPr>
        <w:t>三</w:t>
      </w:r>
      <w:r>
        <w:rPr>
          <w:rFonts w:eastAsia="黑体"/>
          <w:color w:val="auto"/>
          <w:sz w:val="32"/>
          <w:szCs w:val="32"/>
        </w:rPr>
        <w:t>、</w:t>
      </w:r>
      <w:r>
        <w:rPr>
          <w:rFonts w:hint="eastAsia" w:ascii="黑体" w:hAnsi="黑体" w:eastAsia="黑体"/>
          <w:color w:val="auto"/>
          <w:sz w:val="32"/>
          <w:szCs w:val="32"/>
        </w:rPr>
        <w:t>2017年度部门决算情况说明</w:t>
      </w:r>
    </w:p>
    <w:p>
      <w:pPr>
        <w:snapToGrid w:val="0"/>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（一）收入支出决算总体情况说明</w:t>
      </w:r>
    </w:p>
    <w:p>
      <w:pPr>
        <w:widowControl/>
        <w:spacing w:line="56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反映本部门当年总体</w:t>
      </w:r>
      <w:r>
        <w:rPr>
          <w:rFonts w:hint="eastAsia" w:ascii="仿宋_GB2312" w:hAnsi="仿宋" w:eastAsia="仿宋_GB2312"/>
          <w:color w:val="auto"/>
          <w:sz w:val="32"/>
          <w:szCs w:val="32"/>
          <w:lang w:val="en-US" w:eastAsia="zh-CN"/>
        </w:rPr>
        <w:t>收入支出</w:t>
      </w:r>
      <w:r>
        <w:rPr>
          <w:rFonts w:hint="eastAsia" w:ascii="仿宋_GB2312" w:hAnsi="仿宋" w:eastAsia="仿宋_GB2312"/>
          <w:color w:val="auto"/>
          <w:sz w:val="32"/>
          <w:szCs w:val="32"/>
          <w:lang w:eastAsia="zh-CN"/>
        </w:rPr>
        <w:t>情况。</w:t>
      </w:r>
    </w:p>
    <w:p>
      <w:pPr>
        <w:widowControl/>
        <w:spacing w:line="560" w:lineRule="exact"/>
        <w:ind w:firstLine="640" w:firstLineChars="200"/>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lang w:eastAsia="zh-CN"/>
        </w:rPr>
        <w:t>霸州人民政府信访局</w:t>
      </w:r>
      <w:r>
        <w:rPr>
          <w:rFonts w:hint="eastAsia" w:ascii="仿宋_GB2312" w:hAnsi="仿宋" w:eastAsia="仿宋_GB2312"/>
          <w:color w:val="auto"/>
          <w:sz w:val="32"/>
          <w:szCs w:val="32"/>
          <w:highlight w:val="none"/>
        </w:rPr>
        <w:t>2017年度决算收入总计1,044.74万元，与2016年度决算相比，增加</w:t>
      </w:r>
      <w:r>
        <w:rPr>
          <w:rFonts w:hint="eastAsia" w:ascii="仿宋_GB2312" w:hAnsi="仿宋" w:eastAsia="仿宋_GB2312"/>
          <w:color w:val="auto"/>
          <w:sz w:val="32"/>
          <w:szCs w:val="32"/>
          <w:highlight w:val="none"/>
          <w:lang w:val="en-US" w:eastAsia="zh-CN"/>
        </w:rPr>
        <w:t>506.9</w:t>
      </w:r>
      <w:r>
        <w:rPr>
          <w:rFonts w:hint="eastAsia" w:ascii="仿宋_GB2312" w:hAnsi="仿宋" w:eastAsia="仿宋_GB2312"/>
          <w:color w:val="auto"/>
          <w:sz w:val="32"/>
          <w:szCs w:val="32"/>
          <w:highlight w:val="none"/>
        </w:rPr>
        <w:t>万元</w:t>
      </w:r>
      <w:r>
        <w:rPr>
          <w:rFonts w:hint="eastAsia" w:ascii="仿宋_GB2312" w:hAnsi="仿宋" w:eastAsia="仿宋_GB2312"/>
          <w:color w:val="auto"/>
          <w:sz w:val="32"/>
          <w:szCs w:val="32"/>
          <w:highlight w:val="none"/>
          <w:lang w:eastAsia="zh-CN"/>
        </w:rPr>
        <w:t>，</w:t>
      </w:r>
      <w:r>
        <w:rPr>
          <w:rFonts w:hint="eastAsia" w:ascii="仿宋_GB2312" w:hAnsi="仿宋" w:eastAsia="仿宋_GB2312"/>
          <w:color w:val="auto"/>
          <w:sz w:val="32"/>
          <w:szCs w:val="32"/>
          <w:highlight w:val="none"/>
          <w:lang w:val="en-US" w:eastAsia="zh-CN"/>
        </w:rPr>
        <w:t>增长94.25%，</w:t>
      </w:r>
      <w:r>
        <w:rPr>
          <w:rFonts w:hint="eastAsia" w:ascii="仿宋_GB2312" w:hAnsi="仿宋" w:eastAsia="仿宋_GB2312"/>
          <w:color w:val="auto"/>
          <w:sz w:val="32"/>
          <w:szCs w:val="32"/>
          <w:highlight w:val="none"/>
          <w:lang w:eastAsia="zh-CN"/>
        </w:rPr>
        <w:t>主要原因是人员增编和维稳经费</w:t>
      </w:r>
      <w:r>
        <w:rPr>
          <w:rFonts w:hint="eastAsia" w:ascii="仿宋_GB2312" w:hAnsi="仿宋" w:eastAsia="仿宋_GB2312"/>
          <w:color w:val="auto"/>
          <w:sz w:val="32"/>
          <w:szCs w:val="32"/>
          <w:highlight w:val="none"/>
          <w:lang w:val="en-US" w:eastAsia="zh-CN"/>
        </w:rPr>
        <w:t>增加。</w:t>
      </w:r>
      <w:r>
        <w:rPr>
          <w:rFonts w:hint="eastAsia" w:ascii="仿宋_GB2312" w:hAnsi="仿宋" w:eastAsia="仿宋_GB2312"/>
          <w:color w:val="auto"/>
          <w:sz w:val="32"/>
          <w:szCs w:val="32"/>
          <w:highlight w:val="none"/>
        </w:rPr>
        <w:t>决算支出总计1,057.78万元与2016年度决算相比，增加</w:t>
      </w:r>
      <w:r>
        <w:rPr>
          <w:rFonts w:hint="eastAsia" w:ascii="仿宋_GB2312" w:hAnsi="仿宋" w:eastAsia="仿宋_GB2312"/>
          <w:color w:val="auto"/>
          <w:sz w:val="32"/>
          <w:szCs w:val="32"/>
          <w:highlight w:val="none"/>
          <w:lang w:val="en-US" w:eastAsia="zh-CN"/>
        </w:rPr>
        <w:t>265.39</w:t>
      </w:r>
      <w:r>
        <w:rPr>
          <w:rFonts w:hint="eastAsia" w:ascii="仿宋_GB2312" w:hAnsi="仿宋" w:eastAsia="仿宋_GB2312"/>
          <w:color w:val="auto"/>
          <w:sz w:val="32"/>
          <w:szCs w:val="32"/>
          <w:highlight w:val="none"/>
        </w:rPr>
        <w:t>万元，增长</w:t>
      </w:r>
      <w:r>
        <w:rPr>
          <w:rFonts w:hint="eastAsia" w:ascii="仿宋_GB2312" w:hAnsi="仿宋" w:eastAsia="仿宋_GB2312"/>
          <w:color w:val="auto"/>
          <w:sz w:val="32"/>
          <w:szCs w:val="32"/>
          <w:highlight w:val="none"/>
          <w:lang w:val="en-US" w:eastAsia="zh-CN"/>
        </w:rPr>
        <w:t>33.49</w:t>
      </w:r>
      <w:r>
        <w:rPr>
          <w:rFonts w:hint="eastAsia" w:ascii="仿宋_GB2312" w:hAnsi="仿宋" w:eastAsia="仿宋_GB2312"/>
          <w:color w:val="auto"/>
          <w:sz w:val="32"/>
          <w:szCs w:val="32"/>
          <w:highlight w:val="none"/>
        </w:rPr>
        <w:t>%，主要原因是人员增编和维稳经费增加。</w:t>
      </w:r>
    </w:p>
    <w:p>
      <w:pPr>
        <w:snapToGrid w:val="0"/>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（二）收入决算情况说明</w:t>
      </w:r>
    </w:p>
    <w:p>
      <w:pPr>
        <w:widowControl/>
        <w:spacing w:line="56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反映本部门当年总体</w:t>
      </w:r>
      <w:r>
        <w:rPr>
          <w:rFonts w:hint="eastAsia" w:ascii="仿宋_GB2312" w:hAnsi="仿宋" w:eastAsia="仿宋_GB2312"/>
          <w:color w:val="auto"/>
          <w:sz w:val="32"/>
          <w:szCs w:val="32"/>
          <w:lang w:val="en-US" w:eastAsia="zh-CN"/>
        </w:rPr>
        <w:t>收入</w:t>
      </w:r>
      <w:r>
        <w:rPr>
          <w:rFonts w:hint="eastAsia" w:ascii="仿宋_GB2312" w:hAnsi="仿宋" w:eastAsia="仿宋_GB2312"/>
          <w:color w:val="auto"/>
          <w:sz w:val="32"/>
          <w:szCs w:val="32"/>
          <w:lang w:eastAsia="zh-CN"/>
        </w:rPr>
        <w:t>情况。</w:t>
      </w:r>
    </w:p>
    <w:p>
      <w:pPr>
        <w:widowControl/>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lang w:eastAsia="zh-CN"/>
        </w:rPr>
        <w:t>霸州人民政府信访局</w:t>
      </w:r>
      <w:r>
        <w:rPr>
          <w:rFonts w:ascii="仿宋_GB2312" w:hAnsi="仿宋" w:eastAsia="仿宋_GB2312"/>
          <w:color w:val="auto"/>
          <w:sz w:val="32"/>
          <w:szCs w:val="32"/>
          <w:highlight w:val="none"/>
        </w:rPr>
        <w:t>201</w:t>
      </w:r>
      <w:r>
        <w:rPr>
          <w:rFonts w:hint="eastAsia" w:ascii="仿宋_GB2312" w:hAnsi="仿宋" w:eastAsia="仿宋_GB2312"/>
          <w:color w:val="auto"/>
          <w:sz w:val="32"/>
          <w:szCs w:val="32"/>
          <w:highlight w:val="none"/>
        </w:rPr>
        <w:t>7</w:t>
      </w:r>
      <w:r>
        <w:rPr>
          <w:rFonts w:ascii="仿宋_GB2312" w:hAnsi="仿宋" w:eastAsia="仿宋_GB2312"/>
          <w:color w:val="auto"/>
          <w:sz w:val="32"/>
          <w:szCs w:val="32"/>
          <w:highlight w:val="none"/>
        </w:rPr>
        <w:t>年</w:t>
      </w:r>
      <w:r>
        <w:rPr>
          <w:rFonts w:hint="eastAsia" w:ascii="仿宋_GB2312" w:hAnsi="仿宋" w:eastAsia="仿宋_GB2312"/>
          <w:color w:val="auto"/>
          <w:sz w:val="32"/>
          <w:szCs w:val="32"/>
          <w:highlight w:val="none"/>
        </w:rPr>
        <w:t>度</w:t>
      </w:r>
      <w:r>
        <w:rPr>
          <w:rFonts w:ascii="仿宋_GB2312" w:hAnsi="仿宋" w:eastAsia="仿宋_GB2312"/>
          <w:color w:val="auto"/>
          <w:sz w:val="32"/>
          <w:szCs w:val="32"/>
          <w:highlight w:val="none"/>
        </w:rPr>
        <w:t>收入</w:t>
      </w:r>
      <w:r>
        <w:rPr>
          <w:rFonts w:hint="eastAsia" w:ascii="仿宋_GB2312" w:hAnsi="仿宋" w:eastAsia="仿宋_GB2312"/>
          <w:color w:val="auto"/>
          <w:sz w:val="32"/>
          <w:szCs w:val="32"/>
          <w:highlight w:val="none"/>
        </w:rPr>
        <w:t>合计</w:t>
      </w:r>
      <w:r>
        <w:rPr>
          <w:rFonts w:ascii="仿宋_GB2312" w:hAnsi="仿宋_GB2312" w:eastAsia="仿宋_GB2312"/>
          <w:color w:val="auto"/>
          <w:sz w:val="32"/>
          <w:highlight w:val="none"/>
        </w:rPr>
        <w:t>1</w:t>
      </w:r>
      <w:r>
        <w:rPr>
          <w:rFonts w:hint="eastAsia" w:ascii="仿宋_GB2312" w:hAnsi="仿宋_GB2312" w:eastAsia="仿宋_GB2312"/>
          <w:color w:val="auto"/>
          <w:sz w:val="32"/>
          <w:highlight w:val="none"/>
        </w:rPr>
        <w:t>,</w:t>
      </w:r>
      <w:r>
        <w:rPr>
          <w:rFonts w:ascii="仿宋_GB2312" w:hAnsi="仿宋_GB2312" w:eastAsia="仿宋_GB2312"/>
          <w:color w:val="auto"/>
          <w:sz w:val="32"/>
          <w:highlight w:val="none"/>
        </w:rPr>
        <w:t>044.7</w:t>
      </w:r>
      <w:r>
        <w:rPr>
          <w:rFonts w:hint="eastAsia" w:ascii="仿宋_GB2312" w:hAnsi="仿宋_GB2312" w:eastAsia="仿宋_GB2312"/>
          <w:color w:val="auto"/>
          <w:sz w:val="32"/>
          <w:highlight w:val="none"/>
        </w:rPr>
        <w:t>4</w:t>
      </w:r>
      <w:r>
        <w:rPr>
          <w:rFonts w:ascii="仿宋_GB2312" w:hAnsi="仿宋" w:eastAsia="仿宋_GB2312"/>
          <w:color w:val="auto"/>
          <w:sz w:val="32"/>
          <w:szCs w:val="32"/>
          <w:highlight w:val="none"/>
        </w:rPr>
        <w:t>万元，其中</w:t>
      </w:r>
      <w:r>
        <w:rPr>
          <w:rFonts w:hint="eastAsia" w:ascii="仿宋_GB2312" w:hAnsi="仿宋" w:eastAsia="仿宋_GB2312"/>
          <w:color w:val="auto"/>
          <w:sz w:val="32"/>
          <w:szCs w:val="32"/>
          <w:highlight w:val="none"/>
        </w:rPr>
        <w:t>财政拨款收入</w:t>
      </w:r>
      <w:r>
        <w:rPr>
          <w:rFonts w:ascii="仿宋_GB2312" w:hAnsi="仿宋_GB2312" w:eastAsia="仿宋_GB2312"/>
          <w:color w:val="auto"/>
          <w:sz w:val="32"/>
          <w:highlight w:val="none"/>
        </w:rPr>
        <w:t>1</w:t>
      </w:r>
      <w:r>
        <w:rPr>
          <w:rFonts w:hint="eastAsia" w:ascii="仿宋_GB2312" w:hAnsi="仿宋_GB2312" w:eastAsia="仿宋_GB2312"/>
          <w:color w:val="auto"/>
          <w:sz w:val="32"/>
          <w:highlight w:val="none"/>
        </w:rPr>
        <w:t>,</w:t>
      </w:r>
      <w:r>
        <w:rPr>
          <w:rFonts w:ascii="仿宋_GB2312" w:hAnsi="仿宋_GB2312" w:eastAsia="仿宋_GB2312"/>
          <w:color w:val="auto"/>
          <w:sz w:val="32"/>
          <w:highlight w:val="none"/>
        </w:rPr>
        <w:t>044.7</w:t>
      </w:r>
      <w:r>
        <w:rPr>
          <w:rFonts w:hint="eastAsia" w:ascii="仿宋_GB2312" w:hAnsi="仿宋_GB2312" w:eastAsia="仿宋_GB2312"/>
          <w:color w:val="auto"/>
          <w:sz w:val="32"/>
          <w:highlight w:val="none"/>
        </w:rPr>
        <w:t>4</w:t>
      </w:r>
      <w:r>
        <w:rPr>
          <w:rFonts w:ascii="仿宋_GB2312" w:hAnsi="仿宋" w:eastAsia="仿宋_GB2312"/>
          <w:color w:val="auto"/>
          <w:sz w:val="32"/>
          <w:szCs w:val="32"/>
          <w:highlight w:val="none"/>
        </w:rPr>
        <w:t>万元</w:t>
      </w:r>
      <w:r>
        <w:rPr>
          <w:rFonts w:hint="eastAsia" w:ascii="仿宋_GB2312" w:hAnsi="仿宋" w:eastAsia="仿宋_GB2312"/>
          <w:color w:val="auto"/>
          <w:sz w:val="32"/>
          <w:szCs w:val="32"/>
          <w:highlight w:val="none"/>
        </w:rPr>
        <w:t>，占比100%；事业收入0万元，占比0%；其他收入0万元，占比0%。</w:t>
      </w:r>
    </w:p>
    <w:p>
      <w:pPr>
        <w:snapToGrid w:val="0"/>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（三）支出决算情况说明</w:t>
      </w:r>
    </w:p>
    <w:p>
      <w:pPr>
        <w:widowControl/>
        <w:spacing w:line="560" w:lineRule="exact"/>
        <w:ind w:firstLine="640" w:firstLineChars="200"/>
        <w:rPr>
          <w:rFonts w:hint="eastAsia" w:ascii="仿宋_GB2312" w:hAnsi="仿宋" w:eastAsia="仿宋_GB2312"/>
          <w:color w:val="auto"/>
          <w:sz w:val="32"/>
          <w:szCs w:val="32"/>
          <w:lang w:eastAsia="zh-CN"/>
        </w:rPr>
      </w:pPr>
      <w:r>
        <w:rPr>
          <w:rFonts w:hint="eastAsia" w:ascii="仿宋_GB2312" w:hAnsi="仿宋" w:eastAsia="仿宋_GB2312"/>
          <w:color w:val="auto"/>
          <w:sz w:val="32"/>
          <w:szCs w:val="32"/>
          <w:lang w:eastAsia="zh-CN"/>
        </w:rPr>
        <w:t>反映本部门当年总体</w:t>
      </w:r>
      <w:r>
        <w:rPr>
          <w:rFonts w:hint="eastAsia" w:ascii="仿宋_GB2312" w:hAnsi="仿宋" w:eastAsia="仿宋_GB2312"/>
          <w:color w:val="auto"/>
          <w:sz w:val="32"/>
          <w:szCs w:val="32"/>
          <w:lang w:val="en-US" w:eastAsia="zh-CN"/>
        </w:rPr>
        <w:t>支出</w:t>
      </w:r>
      <w:r>
        <w:rPr>
          <w:rFonts w:hint="eastAsia" w:ascii="仿宋_GB2312" w:hAnsi="仿宋" w:eastAsia="仿宋_GB2312"/>
          <w:color w:val="auto"/>
          <w:sz w:val="32"/>
          <w:szCs w:val="32"/>
          <w:lang w:eastAsia="zh-CN"/>
        </w:rPr>
        <w:t>情况。</w:t>
      </w:r>
    </w:p>
    <w:p>
      <w:pPr>
        <w:widowControl/>
        <w:spacing w:line="560" w:lineRule="exact"/>
        <w:ind w:firstLine="640" w:firstLineChars="200"/>
        <w:rPr>
          <w:rFonts w:ascii="仿宋_GB2312" w:hAnsi="仿宋" w:eastAsia="仿宋_GB2312"/>
          <w:color w:val="auto"/>
          <w:sz w:val="32"/>
          <w:szCs w:val="32"/>
          <w:highlight w:val="none"/>
        </w:rPr>
      </w:pPr>
      <w:r>
        <w:rPr>
          <w:rFonts w:hint="eastAsia" w:ascii="仿宋_GB2312" w:hAnsi="仿宋" w:eastAsia="仿宋_GB2312"/>
          <w:color w:val="auto"/>
          <w:sz w:val="32"/>
          <w:szCs w:val="32"/>
          <w:lang w:eastAsia="zh-CN"/>
        </w:rPr>
        <w:t>霸州人民政府信访局</w:t>
      </w:r>
      <w:r>
        <w:rPr>
          <w:rFonts w:ascii="仿宋_GB2312" w:hAnsi="仿宋" w:eastAsia="仿宋_GB2312"/>
          <w:color w:val="auto"/>
          <w:sz w:val="32"/>
          <w:szCs w:val="32"/>
          <w:highlight w:val="none"/>
        </w:rPr>
        <w:t>201</w:t>
      </w:r>
      <w:r>
        <w:rPr>
          <w:rFonts w:hint="eastAsia" w:ascii="仿宋_GB2312" w:hAnsi="仿宋" w:eastAsia="仿宋_GB2312"/>
          <w:color w:val="auto"/>
          <w:sz w:val="32"/>
          <w:szCs w:val="32"/>
          <w:highlight w:val="none"/>
        </w:rPr>
        <w:t>7</w:t>
      </w:r>
      <w:r>
        <w:rPr>
          <w:rFonts w:ascii="仿宋_GB2312" w:hAnsi="仿宋" w:eastAsia="仿宋_GB2312"/>
          <w:color w:val="auto"/>
          <w:sz w:val="32"/>
          <w:szCs w:val="32"/>
          <w:highlight w:val="none"/>
        </w:rPr>
        <w:t>年部门</w:t>
      </w:r>
      <w:r>
        <w:rPr>
          <w:rFonts w:hint="eastAsia" w:ascii="仿宋_GB2312" w:hAnsi="仿宋" w:eastAsia="仿宋_GB2312"/>
          <w:color w:val="auto"/>
          <w:sz w:val="32"/>
          <w:szCs w:val="32"/>
          <w:highlight w:val="none"/>
        </w:rPr>
        <w:t>决</w:t>
      </w:r>
      <w:r>
        <w:rPr>
          <w:rFonts w:ascii="仿宋_GB2312" w:hAnsi="仿宋" w:eastAsia="仿宋_GB2312"/>
          <w:color w:val="auto"/>
          <w:sz w:val="32"/>
          <w:szCs w:val="32"/>
          <w:highlight w:val="none"/>
        </w:rPr>
        <w:t>算支出为1</w:t>
      </w:r>
      <w:r>
        <w:rPr>
          <w:rFonts w:hint="eastAsia" w:ascii="仿宋_GB2312" w:hAnsi="仿宋" w:eastAsia="仿宋_GB2312"/>
          <w:color w:val="auto"/>
          <w:sz w:val="32"/>
          <w:szCs w:val="32"/>
          <w:highlight w:val="none"/>
        </w:rPr>
        <w:t>,</w:t>
      </w:r>
      <w:r>
        <w:rPr>
          <w:rFonts w:ascii="仿宋_GB2312" w:hAnsi="仿宋" w:eastAsia="仿宋_GB2312"/>
          <w:color w:val="auto"/>
          <w:sz w:val="32"/>
          <w:szCs w:val="32"/>
          <w:highlight w:val="none"/>
        </w:rPr>
        <w:t>057.78万元，其中：基本支出367.05万元，</w:t>
      </w:r>
      <w:r>
        <w:rPr>
          <w:rFonts w:hint="eastAsia" w:ascii="仿宋_GB2312" w:hAnsi="仿宋" w:eastAsia="仿宋_GB2312"/>
          <w:color w:val="auto"/>
          <w:sz w:val="32"/>
          <w:szCs w:val="32"/>
          <w:highlight w:val="none"/>
        </w:rPr>
        <w:t>占比34.70%，</w:t>
      </w:r>
      <w:r>
        <w:rPr>
          <w:rFonts w:ascii="仿宋_GB2312" w:hAnsi="仿宋" w:eastAsia="仿宋_GB2312"/>
          <w:color w:val="auto"/>
          <w:sz w:val="32"/>
          <w:szCs w:val="32"/>
          <w:highlight w:val="none"/>
        </w:rPr>
        <w:t>包含人员经费支出331.34万元和日常公用经费支出35.7</w:t>
      </w:r>
      <w:r>
        <w:rPr>
          <w:rFonts w:hint="eastAsia" w:ascii="仿宋_GB2312" w:hAnsi="仿宋" w:eastAsia="仿宋_GB2312"/>
          <w:color w:val="auto"/>
          <w:sz w:val="32"/>
          <w:szCs w:val="32"/>
          <w:highlight w:val="none"/>
          <w:lang w:val="en-US" w:eastAsia="zh-CN"/>
        </w:rPr>
        <w:t>1</w:t>
      </w:r>
      <w:r>
        <w:rPr>
          <w:rFonts w:ascii="仿宋_GB2312" w:hAnsi="仿宋" w:eastAsia="仿宋_GB2312"/>
          <w:color w:val="auto"/>
          <w:sz w:val="32"/>
          <w:szCs w:val="32"/>
          <w:highlight w:val="none"/>
        </w:rPr>
        <w:t>万元；项目支出690.73万元</w:t>
      </w:r>
      <w:r>
        <w:rPr>
          <w:rFonts w:hint="eastAsia" w:ascii="仿宋_GB2312" w:hAnsi="仿宋" w:eastAsia="仿宋_GB2312"/>
          <w:color w:val="auto"/>
          <w:sz w:val="32"/>
          <w:szCs w:val="32"/>
          <w:highlight w:val="none"/>
        </w:rPr>
        <w:t>，占比65.30%</w:t>
      </w:r>
      <w:r>
        <w:rPr>
          <w:rFonts w:ascii="仿宋_GB2312" w:hAnsi="仿宋" w:eastAsia="仿宋_GB2312"/>
          <w:color w:val="auto"/>
          <w:sz w:val="32"/>
          <w:szCs w:val="32"/>
          <w:highlight w:val="none"/>
        </w:rPr>
        <w:t>。</w:t>
      </w:r>
    </w:p>
    <w:p>
      <w:pPr>
        <w:snapToGrid w:val="0"/>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（四）财政拨款收入支出决算总体情况说明</w:t>
      </w:r>
    </w:p>
    <w:p>
      <w:pPr>
        <w:widowControl/>
        <w:spacing w:line="56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rPr>
        <w:t>1、财政拨款收支与2016年度决算对比情况</w:t>
      </w:r>
    </w:p>
    <w:p>
      <w:pPr>
        <w:snapToGrid w:val="0"/>
        <w:spacing w:line="560" w:lineRule="exact"/>
        <w:ind w:firstLine="640" w:firstLineChars="200"/>
        <w:rPr>
          <w:rFonts w:ascii="仿宋" w:hAnsi="仿宋" w:eastAsia="仿宋" w:cs="仿宋"/>
          <w:color w:val="auto"/>
          <w:sz w:val="32"/>
          <w:highlight w:val="none"/>
        </w:rPr>
      </w:pPr>
      <w:r>
        <w:rPr>
          <w:rFonts w:hint="eastAsia" w:ascii="仿宋_GB2312" w:hAnsi="仿宋" w:eastAsia="仿宋_GB2312"/>
          <w:color w:val="auto"/>
          <w:sz w:val="32"/>
          <w:szCs w:val="32"/>
          <w:lang w:eastAsia="zh-CN"/>
        </w:rPr>
        <w:t>霸州人民政府信访局</w:t>
      </w:r>
      <w:r>
        <w:rPr>
          <w:rFonts w:hint="eastAsia" w:ascii="仿宋" w:hAnsi="仿宋" w:eastAsia="仿宋" w:cs="仿宋"/>
          <w:color w:val="auto"/>
          <w:sz w:val="32"/>
          <w:szCs w:val="32"/>
        </w:rPr>
        <w:t>2017年财政拨款收入决算总计1,044.74万元，较2016年</w:t>
      </w:r>
      <w:r>
        <w:rPr>
          <w:rFonts w:hint="eastAsia" w:ascii="仿宋" w:hAnsi="仿宋" w:eastAsia="仿宋" w:cs="仿宋"/>
          <w:color w:val="auto"/>
          <w:sz w:val="32"/>
        </w:rPr>
        <w:t>度决算</w:t>
      </w:r>
      <w:r>
        <w:rPr>
          <w:rFonts w:hint="eastAsia" w:ascii="仿宋" w:hAnsi="仿宋" w:eastAsia="仿宋" w:cs="仿宋"/>
          <w:color w:val="auto"/>
          <w:sz w:val="32"/>
          <w:szCs w:val="32"/>
        </w:rPr>
        <w:t>增加</w:t>
      </w:r>
      <w:r>
        <w:rPr>
          <w:rFonts w:ascii="仿宋" w:hAnsi="仿宋" w:eastAsia="仿宋" w:cs="仿宋"/>
          <w:color w:val="auto"/>
          <w:sz w:val="32"/>
          <w:szCs w:val="32"/>
        </w:rPr>
        <w:t>518.3</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万元，</w:t>
      </w:r>
      <w:r>
        <w:rPr>
          <w:rFonts w:hint="eastAsia" w:ascii="仿宋" w:hAnsi="仿宋" w:eastAsia="仿宋" w:cs="仿宋"/>
          <w:color w:val="auto"/>
          <w:sz w:val="32"/>
        </w:rPr>
        <w:t>增长</w:t>
      </w:r>
      <w:r>
        <w:rPr>
          <w:rFonts w:hint="eastAsia" w:ascii="仿宋" w:hAnsi="仿宋" w:eastAsia="仿宋" w:cs="仿宋"/>
          <w:color w:val="auto"/>
          <w:sz w:val="32"/>
          <w:szCs w:val="32"/>
          <w:lang w:val="en-US" w:eastAsia="zh-CN"/>
        </w:rPr>
        <w:t>98.46</w:t>
      </w:r>
      <w:r>
        <w:rPr>
          <w:rFonts w:hint="eastAsia" w:ascii="仿宋" w:hAnsi="仿宋" w:eastAsia="仿宋" w:cs="仿宋"/>
          <w:color w:val="auto"/>
          <w:sz w:val="32"/>
        </w:rPr>
        <w:t>%，</w:t>
      </w:r>
      <w:r>
        <w:rPr>
          <w:rFonts w:hint="eastAsia" w:ascii="仿宋" w:hAnsi="仿宋" w:eastAsia="仿宋" w:cs="仿宋"/>
          <w:color w:val="auto"/>
          <w:sz w:val="32"/>
          <w:highlight w:val="none"/>
        </w:rPr>
        <w:t>主要原因是</w:t>
      </w:r>
      <w:r>
        <w:rPr>
          <w:rFonts w:hint="eastAsia" w:ascii="仿宋" w:hAnsi="仿宋" w:eastAsia="仿宋" w:cs="仿宋"/>
          <w:color w:val="auto"/>
          <w:sz w:val="32"/>
          <w:szCs w:val="32"/>
          <w:highlight w:val="none"/>
        </w:rPr>
        <w:t>新建群众工作中心接待大厅</w:t>
      </w:r>
      <w:r>
        <w:rPr>
          <w:rFonts w:hint="eastAsia" w:ascii="仿宋" w:hAnsi="仿宋" w:eastAsia="仿宋" w:cs="仿宋"/>
          <w:color w:val="auto"/>
          <w:sz w:val="32"/>
          <w:highlight w:val="none"/>
        </w:rPr>
        <w:t>。</w:t>
      </w:r>
      <w:r>
        <w:rPr>
          <w:rFonts w:hint="eastAsia" w:ascii="仿宋" w:hAnsi="仿宋" w:eastAsia="仿宋" w:cs="仿宋"/>
          <w:color w:val="auto"/>
          <w:sz w:val="32"/>
          <w:szCs w:val="32"/>
          <w:highlight w:val="none"/>
        </w:rPr>
        <w:t>其中，一般公共预算拨款增加</w:t>
      </w:r>
      <w:r>
        <w:rPr>
          <w:rFonts w:ascii="仿宋" w:hAnsi="仿宋" w:eastAsia="仿宋" w:cs="仿宋"/>
          <w:color w:val="auto"/>
          <w:sz w:val="32"/>
          <w:szCs w:val="32"/>
          <w:highlight w:val="none"/>
        </w:rPr>
        <w:t>518.32</w:t>
      </w:r>
      <w:r>
        <w:rPr>
          <w:rFonts w:hint="eastAsia" w:ascii="仿宋" w:hAnsi="仿宋" w:eastAsia="仿宋" w:cs="仿宋"/>
          <w:color w:val="auto"/>
          <w:sz w:val="32"/>
          <w:szCs w:val="32"/>
          <w:highlight w:val="none"/>
        </w:rPr>
        <w:t>万元，政府性基金预算财政拨款增加（减少）0万元。2017年财政拨款支出决算总计</w:t>
      </w:r>
      <w:r>
        <w:rPr>
          <w:rFonts w:ascii="仿宋_GB2312" w:hAnsi="仿宋" w:eastAsia="仿宋_GB2312"/>
          <w:color w:val="auto"/>
          <w:sz w:val="32"/>
          <w:szCs w:val="32"/>
          <w:highlight w:val="none"/>
        </w:rPr>
        <w:t>1</w:t>
      </w:r>
      <w:r>
        <w:rPr>
          <w:rFonts w:hint="eastAsia" w:ascii="仿宋_GB2312" w:hAnsi="仿宋" w:eastAsia="仿宋_GB2312"/>
          <w:color w:val="auto"/>
          <w:sz w:val="32"/>
          <w:szCs w:val="32"/>
          <w:highlight w:val="none"/>
        </w:rPr>
        <w:t>,</w:t>
      </w:r>
      <w:r>
        <w:rPr>
          <w:rFonts w:ascii="仿宋_GB2312" w:hAnsi="仿宋" w:eastAsia="仿宋_GB2312"/>
          <w:color w:val="auto"/>
          <w:sz w:val="32"/>
          <w:szCs w:val="32"/>
          <w:highlight w:val="none"/>
        </w:rPr>
        <w:t>057.78</w:t>
      </w:r>
      <w:r>
        <w:rPr>
          <w:rFonts w:hint="eastAsia" w:ascii="仿宋" w:hAnsi="仿宋" w:eastAsia="仿宋" w:cs="仿宋"/>
          <w:color w:val="auto"/>
          <w:sz w:val="32"/>
          <w:szCs w:val="32"/>
          <w:highlight w:val="none"/>
        </w:rPr>
        <w:t>万元，较2016年</w:t>
      </w:r>
      <w:r>
        <w:rPr>
          <w:rFonts w:hint="eastAsia" w:ascii="仿宋" w:hAnsi="仿宋" w:eastAsia="仿宋" w:cs="仿宋"/>
          <w:color w:val="auto"/>
          <w:sz w:val="32"/>
          <w:highlight w:val="none"/>
        </w:rPr>
        <w:t>度决算</w:t>
      </w:r>
      <w:r>
        <w:rPr>
          <w:rFonts w:hint="eastAsia"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521.52</w:t>
      </w:r>
      <w:r>
        <w:rPr>
          <w:rFonts w:hint="eastAsia" w:ascii="仿宋" w:hAnsi="仿宋" w:eastAsia="仿宋" w:cs="仿宋"/>
          <w:color w:val="auto"/>
          <w:sz w:val="32"/>
          <w:szCs w:val="32"/>
          <w:highlight w:val="none"/>
        </w:rPr>
        <w:t>万元，</w:t>
      </w:r>
      <w:r>
        <w:rPr>
          <w:rFonts w:hint="eastAsia" w:ascii="仿宋" w:hAnsi="仿宋" w:eastAsia="仿宋" w:cs="仿宋"/>
          <w:color w:val="auto"/>
          <w:sz w:val="32"/>
          <w:highlight w:val="none"/>
        </w:rPr>
        <w:t>增长</w:t>
      </w:r>
      <w:r>
        <w:rPr>
          <w:rFonts w:hint="eastAsia" w:ascii="仿宋" w:hAnsi="仿宋" w:eastAsia="仿宋" w:cs="仿宋"/>
          <w:color w:val="auto"/>
          <w:sz w:val="32"/>
          <w:highlight w:val="none"/>
          <w:lang w:val="en-US" w:eastAsia="zh-CN"/>
        </w:rPr>
        <w:t>97.25</w:t>
      </w:r>
      <w:r>
        <w:rPr>
          <w:rFonts w:hint="eastAsia" w:ascii="仿宋" w:hAnsi="仿宋" w:eastAsia="仿宋" w:cs="仿宋"/>
          <w:color w:val="auto"/>
          <w:sz w:val="32"/>
          <w:highlight w:val="none"/>
        </w:rPr>
        <w:t>%，主要原因是</w:t>
      </w:r>
      <w:r>
        <w:rPr>
          <w:rFonts w:hint="eastAsia" w:ascii="仿宋" w:hAnsi="仿宋" w:eastAsia="仿宋" w:cs="仿宋"/>
          <w:color w:val="auto"/>
          <w:sz w:val="32"/>
          <w:szCs w:val="32"/>
          <w:highlight w:val="none"/>
        </w:rPr>
        <w:t>新建群众工作中心接待大厅</w:t>
      </w:r>
      <w:r>
        <w:rPr>
          <w:rFonts w:hint="eastAsia" w:ascii="仿宋" w:hAnsi="仿宋" w:eastAsia="仿宋" w:cs="仿宋"/>
          <w:color w:val="auto"/>
          <w:sz w:val="32"/>
          <w:highlight w:val="none"/>
        </w:rPr>
        <w:t>。</w:t>
      </w:r>
      <w:r>
        <w:rPr>
          <w:rFonts w:hint="eastAsia" w:ascii="仿宋" w:hAnsi="仿宋" w:eastAsia="仿宋" w:cs="仿宋"/>
          <w:color w:val="auto"/>
          <w:sz w:val="32"/>
          <w:szCs w:val="32"/>
          <w:highlight w:val="none"/>
        </w:rPr>
        <w:t>其中基本支出增加</w:t>
      </w:r>
      <w:r>
        <w:rPr>
          <w:rFonts w:ascii="仿宋" w:hAnsi="仿宋" w:eastAsia="仿宋" w:cs="仿宋"/>
          <w:color w:val="auto"/>
          <w:sz w:val="32"/>
          <w:szCs w:val="32"/>
          <w:highlight w:val="none"/>
        </w:rPr>
        <w:t>160.32</w:t>
      </w:r>
      <w:r>
        <w:rPr>
          <w:rFonts w:hint="eastAsia" w:ascii="仿宋" w:hAnsi="仿宋" w:eastAsia="仿宋" w:cs="仿宋"/>
          <w:color w:val="auto"/>
          <w:sz w:val="32"/>
          <w:szCs w:val="32"/>
          <w:highlight w:val="none"/>
        </w:rPr>
        <w:t>万元，项目支出增加</w:t>
      </w:r>
      <w:r>
        <w:rPr>
          <w:rFonts w:ascii="仿宋" w:hAnsi="仿宋" w:eastAsia="仿宋" w:cs="仿宋"/>
          <w:color w:val="auto"/>
          <w:sz w:val="32"/>
          <w:szCs w:val="32"/>
          <w:highlight w:val="none"/>
        </w:rPr>
        <w:t>361.20</w:t>
      </w:r>
      <w:r>
        <w:rPr>
          <w:rFonts w:hint="eastAsia" w:ascii="仿宋" w:hAnsi="仿宋" w:eastAsia="仿宋" w:cs="仿宋"/>
          <w:color w:val="auto"/>
          <w:sz w:val="32"/>
          <w:szCs w:val="32"/>
          <w:highlight w:val="none"/>
        </w:rPr>
        <w:t>万元</w:t>
      </w:r>
      <w:r>
        <w:rPr>
          <w:rFonts w:hint="eastAsia" w:ascii="仿宋" w:hAnsi="仿宋" w:eastAsia="仿宋" w:cs="仿宋"/>
          <w:color w:val="auto"/>
          <w:sz w:val="32"/>
          <w:highlight w:val="none"/>
        </w:rPr>
        <w:t>。</w:t>
      </w:r>
    </w:p>
    <w:p>
      <w:pPr>
        <w:widowControl/>
        <w:spacing w:line="560" w:lineRule="exact"/>
        <w:ind w:firstLine="643" w:firstLineChars="200"/>
        <w:rPr>
          <w:rFonts w:ascii="仿宋" w:hAnsi="仿宋" w:eastAsia="仿宋" w:cs="仿宋"/>
          <w:b/>
          <w:bCs/>
          <w:color w:val="auto"/>
          <w:sz w:val="32"/>
          <w:szCs w:val="22"/>
        </w:rPr>
      </w:pPr>
      <w:r>
        <w:rPr>
          <w:rFonts w:hint="eastAsia" w:ascii="仿宋" w:hAnsi="仿宋" w:eastAsia="仿宋" w:cs="仿宋"/>
          <w:b/>
          <w:bCs/>
          <w:color w:val="auto"/>
          <w:sz w:val="32"/>
          <w:szCs w:val="22"/>
        </w:rPr>
        <w:t>2、财政拨款收支与年初预算数对比情况</w:t>
      </w:r>
    </w:p>
    <w:p>
      <w:pPr>
        <w:snapToGrid w:val="0"/>
        <w:spacing w:line="560" w:lineRule="exact"/>
        <w:ind w:firstLine="640" w:firstLineChars="200"/>
        <w:rPr>
          <w:rFonts w:ascii="仿宋" w:hAnsi="仿宋" w:eastAsia="仿宋" w:cs="仿宋"/>
          <w:color w:val="auto"/>
          <w:sz w:val="32"/>
        </w:rPr>
      </w:pPr>
      <w:r>
        <w:rPr>
          <w:rFonts w:hint="eastAsia" w:ascii="仿宋_GB2312" w:hAnsi="仿宋" w:eastAsia="仿宋_GB2312"/>
          <w:color w:val="auto"/>
          <w:sz w:val="32"/>
          <w:szCs w:val="32"/>
          <w:lang w:eastAsia="zh-CN"/>
        </w:rPr>
        <w:t>霸州人民政府信访局</w:t>
      </w:r>
      <w:r>
        <w:rPr>
          <w:rFonts w:hint="eastAsia" w:ascii="仿宋" w:hAnsi="仿宋" w:eastAsia="仿宋" w:cs="仿宋"/>
          <w:color w:val="auto"/>
          <w:sz w:val="32"/>
          <w:szCs w:val="32"/>
        </w:rPr>
        <w:t>2017年财政拨款收入决算总计1,044.74万元，较年初预算增加</w:t>
      </w:r>
      <w:r>
        <w:rPr>
          <w:rFonts w:hint="eastAsia" w:ascii="仿宋" w:hAnsi="仿宋" w:eastAsia="仿宋" w:cs="仿宋"/>
          <w:color w:val="auto"/>
          <w:sz w:val="32"/>
          <w:szCs w:val="32"/>
          <w:lang w:val="en-US" w:eastAsia="zh-CN"/>
        </w:rPr>
        <w:t>462.58</w:t>
      </w:r>
      <w:r>
        <w:rPr>
          <w:rFonts w:hint="eastAsia" w:ascii="仿宋" w:hAnsi="仿宋" w:eastAsia="仿宋" w:cs="仿宋"/>
          <w:color w:val="auto"/>
          <w:sz w:val="32"/>
          <w:szCs w:val="32"/>
        </w:rPr>
        <w:t>万元，</w:t>
      </w:r>
      <w:r>
        <w:rPr>
          <w:rFonts w:hint="eastAsia" w:ascii="仿宋" w:hAnsi="仿宋" w:eastAsia="仿宋" w:cs="仿宋"/>
          <w:color w:val="auto"/>
          <w:sz w:val="32"/>
        </w:rPr>
        <w:t>增长</w:t>
      </w:r>
      <w:r>
        <w:rPr>
          <w:rFonts w:hint="eastAsia" w:ascii="仿宋" w:hAnsi="仿宋" w:eastAsia="仿宋" w:cs="仿宋"/>
          <w:color w:val="auto"/>
          <w:sz w:val="32"/>
          <w:lang w:val="en-US" w:eastAsia="zh-CN"/>
        </w:rPr>
        <w:t>79.46</w:t>
      </w:r>
      <w:r>
        <w:rPr>
          <w:rFonts w:hint="eastAsia" w:ascii="仿宋" w:hAnsi="仿宋" w:eastAsia="仿宋" w:cs="仿宋"/>
          <w:color w:val="auto"/>
          <w:sz w:val="32"/>
        </w:rPr>
        <w:t>%，</w:t>
      </w:r>
      <w:r>
        <w:rPr>
          <w:rFonts w:hint="eastAsia" w:ascii="仿宋" w:hAnsi="仿宋" w:eastAsia="仿宋" w:cs="仿宋"/>
          <w:color w:val="auto"/>
          <w:sz w:val="32"/>
          <w:highlight w:val="none"/>
        </w:rPr>
        <w:t>主要原因是</w:t>
      </w:r>
      <w:r>
        <w:rPr>
          <w:rFonts w:hint="eastAsia" w:ascii="仿宋" w:hAnsi="仿宋" w:eastAsia="仿宋" w:cs="仿宋"/>
          <w:color w:val="auto"/>
          <w:sz w:val="32"/>
          <w:szCs w:val="32"/>
          <w:highlight w:val="none"/>
        </w:rPr>
        <w:t>新建群众工作中心接待大厅</w:t>
      </w:r>
      <w:r>
        <w:rPr>
          <w:rFonts w:hint="eastAsia" w:ascii="仿宋" w:hAnsi="仿宋" w:eastAsia="仿宋" w:cs="仿宋"/>
          <w:color w:val="auto"/>
          <w:sz w:val="32"/>
          <w:highlight w:val="none"/>
        </w:rPr>
        <w:t>。</w:t>
      </w:r>
      <w:r>
        <w:rPr>
          <w:rFonts w:hint="eastAsia" w:ascii="仿宋" w:hAnsi="仿宋" w:eastAsia="仿宋" w:cs="仿宋"/>
          <w:color w:val="auto"/>
          <w:sz w:val="32"/>
          <w:szCs w:val="32"/>
          <w:highlight w:val="none"/>
        </w:rPr>
        <w:t>其中，</w:t>
      </w:r>
      <w:r>
        <w:rPr>
          <w:rFonts w:hint="eastAsia" w:ascii="仿宋" w:hAnsi="仿宋" w:eastAsia="仿宋" w:cs="仿宋"/>
          <w:color w:val="auto"/>
          <w:sz w:val="32"/>
          <w:szCs w:val="32"/>
        </w:rPr>
        <w:t>一般公共预算拨款增加462.58万元，政府性基金预算财政拨款增加（减少）</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万元。2017年财政拨款支出决算总计1,0</w:t>
      </w:r>
      <w:bookmarkStart w:id="0" w:name="_GoBack"/>
      <w:bookmarkEnd w:id="0"/>
      <w:r>
        <w:rPr>
          <w:rFonts w:hint="eastAsia" w:ascii="仿宋" w:hAnsi="仿宋" w:eastAsia="仿宋" w:cs="仿宋"/>
          <w:color w:val="auto"/>
          <w:sz w:val="32"/>
          <w:szCs w:val="32"/>
        </w:rPr>
        <w:t>57.78万元，较年初预算增加</w:t>
      </w:r>
      <w:r>
        <w:rPr>
          <w:rFonts w:hint="eastAsia" w:ascii="仿宋" w:hAnsi="仿宋" w:eastAsia="仿宋" w:cs="仿宋"/>
          <w:color w:val="auto"/>
          <w:sz w:val="32"/>
          <w:szCs w:val="32"/>
          <w:lang w:val="en-US" w:eastAsia="zh-CN"/>
        </w:rPr>
        <w:t>475.62</w:t>
      </w:r>
      <w:r>
        <w:rPr>
          <w:rFonts w:hint="eastAsia" w:ascii="仿宋" w:hAnsi="仿宋" w:eastAsia="仿宋" w:cs="仿宋"/>
          <w:color w:val="auto"/>
          <w:sz w:val="32"/>
          <w:szCs w:val="32"/>
        </w:rPr>
        <w:t>万元，</w:t>
      </w:r>
      <w:r>
        <w:rPr>
          <w:rFonts w:hint="eastAsia" w:ascii="仿宋" w:hAnsi="仿宋" w:eastAsia="仿宋" w:cs="仿宋"/>
          <w:color w:val="auto"/>
          <w:sz w:val="32"/>
        </w:rPr>
        <w:t>增长</w:t>
      </w:r>
      <w:r>
        <w:rPr>
          <w:rFonts w:hint="eastAsia" w:ascii="仿宋" w:hAnsi="仿宋" w:eastAsia="仿宋" w:cs="仿宋"/>
          <w:color w:val="auto"/>
          <w:sz w:val="32"/>
          <w:lang w:val="en-US" w:eastAsia="zh-CN"/>
        </w:rPr>
        <w:t>81.70</w:t>
      </w:r>
      <w:r>
        <w:rPr>
          <w:rFonts w:hint="eastAsia" w:ascii="仿宋" w:hAnsi="仿宋" w:eastAsia="仿宋" w:cs="仿宋"/>
          <w:color w:val="auto"/>
          <w:sz w:val="32"/>
        </w:rPr>
        <w:t>%</w:t>
      </w:r>
      <w:r>
        <w:rPr>
          <w:rFonts w:hint="eastAsia" w:ascii="仿宋" w:hAnsi="仿宋" w:eastAsia="仿宋" w:cs="仿宋"/>
          <w:color w:val="auto"/>
          <w:sz w:val="32"/>
          <w:highlight w:val="none"/>
        </w:rPr>
        <w:t>，主要原因是</w:t>
      </w:r>
      <w:r>
        <w:rPr>
          <w:rFonts w:hint="eastAsia" w:ascii="仿宋" w:hAnsi="仿宋" w:eastAsia="仿宋" w:cs="仿宋"/>
          <w:color w:val="auto"/>
          <w:sz w:val="32"/>
          <w:szCs w:val="32"/>
          <w:highlight w:val="none"/>
          <w:lang w:val="en-US" w:eastAsia="zh-CN"/>
        </w:rPr>
        <w:t>新建群众工作中心接待大厅</w:t>
      </w:r>
      <w:r>
        <w:rPr>
          <w:rFonts w:hint="eastAsia" w:ascii="仿宋" w:hAnsi="仿宋" w:eastAsia="仿宋" w:cs="仿宋"/>
          <w:color w:val="auto"/>
          <w:sz w:val="32"/>
          <w:highlight w:val="none"/>
        </w:rPr>
        <w:t>。</w:t>
      </w:r>
      <w:r>
        <w:rPr>
          <w:rFonts w:hint="eastAsia" w:ascii="仿宋" w:hAnsi="仿宋" w:eastAsia="仿宋" w:cs="仿宋"/>
          <w:color w:val="auto"/>
          <w:sz w:val="32"/>
          <w:szCs w:val="32"/>
          <w:highlight w:val="none"/>
        </w:rPr>
        <w:t>其中</w:t>
      </w:r>
      <w:r>
        <w:rPr>
          <w:rFonts w:hint="eastAsia" w:ascii="仿宋" w:hAnsi="仿宋" w:eastAsia="仿宋" w:cs="仿宋"/>
          <w:color w:val="auto"/>
          <w:sz w:val="32"/>
          <w:szCs w:val="32"/>
        </w:rPr>
        <w:t>基本支出</w:t>
      </w:r>
      <w:r>
        <w:rPr>
          <w:rFonts w:hint="eastAsia" w:ascii="仿宋" w:hAnsi="仿宋" w:eastAsia="仿宋" w:cs="仿宋"/>
          <w:color w:val="auto"/>
          <w:sz w:val="32"/>
          <w:szCs w:val="32"/>
          <w:lang w:val="en-US" w:eastAsia="zh-CN"/>
        </w:rPr>
        <w:t>增加41.40</w:t>
      </w:r>
      <w:r>
        <w:rPr>
          <w:rFonts w:hint="eastAsia" w:ascii="仿宋" w:hAnsi="仿宋" w:eastAsia="仿宋" w:cs="仿宋"/>
          <w:color w:val="auto"/>
          <w:sz w:val="32"/>
          <w:szCs w:val="32"/>
        </w:rPr>
        <w:t>万元，项目支出增加</w:t>
      </w:r>
      <w:r>
        <w:rPr>
          <w:rFonts w:hint="eastAsia" w:ascii="仿宋" w:hAnsi="仿宋" w:eastAsia="仿宋" w:cs="仿宋"/>
          <w:color w:val="auto"/>
          <w:sz w:val="32"/>
          <w:szCs w:val="32"/>
          <w:lang w:val="en-US" w:eastAsia="zh-CN"/>
        </w:rPr>
        <w:t>434.22</w:t>
      </w:r>
      <w:r>
        <w:rPr>
          <w:rFonts w:hint="eastAsia" w:ascii="仿宋" w:hAnsi="仿宋" w:eastAsia="仿宋" w:cs="仿宋"/>
          <w:color w:val="auto"/>
          <w:sz w:val="32"/>
          <w:szCs w:val="32"/>
        </w:rPr>
        <w:t>万元</w:t>
      </w:r>
      <w:r>
        <w:rPr>
          <w:rFonts w:hint="eastAsia" w:ascii="仿宋" w:hAnsi="仿宋" w:eastAsia="仿宋" w:cs="仿宋"/>
          <w:color w:val="auto"/>
          <w:sz w:val="32"/>
        </w:rPr>
        <w:t>。</w:t>
      </w:r>
    </w:p>
    <w:p>
      <w:pPr>
        <w:snapToGrid w:val="0"/>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（五）“三公”经费支出决算情况说明</w:t>
      </w:r>
    </w:p>
    <w:p>
      <w:pPr>
        <w:widowControl/>
        <w:spacing w:line="560" w:lineRule="exact"/>
        <w:ind w:firstLine="640" w:firstLineChars="200"/>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rPr>
        <w:t>2017年度部门“三公”经费支出</w:t>
      </w:r>
      <w:r>
        <w:rPr>
          <w:rFonts w:hint="eastAsia" w:ascii="仿宋_GB2312" w:hAnsi="仿宋" w:eastAsia="仿宋_GB2312"/>
          <w:color w:val="auto"/>
          <w:sz w:val="32"/>
          <w:szCs w:val="32"/>
          <w:lang w:val="en-US" w:eastAsia="zh-CN"/>
        </w:rPr>
        <w:t>2.3</w:t>
      </w:r>
      <w:r>
        <w:rPr>
          <w:rFonts w:hint="eastAsia" w:ascii="仿宋_GB2312" w:hAnsi="仿宋" w:eastAsia="仿宋_GB2312"/>
          <w:color w:val="auto"/>
          <w:sz w:val="32"/>
          <w:szCs w:val="32"/>
        </w:rPr>
        <w:t>万元，比预算减少</w:t>
      </w:r>
      <w:r>
        <w:rPr>
          <w:rFonts w:hint="eastAsia" w:ascii="仿宋_GB2312" w:hAnsi="仿宋" w:eastAsia="仿宋_GB2312"/>
          <w:color w:val="auto"/>
          <w:sz w:val="32"/>
          <w:szCs w:val="32"/>
          <w:lang w:val="en-US" w:eastAsia="zh-CN"/>
        </w:rPr>
        <w:t>0.57</w:t>
      </w:r>
      <w:r>
        <w:rPr>
          <w:rFonts w:hint="eastAsia" w:ascii="仿宋_GB2312" w:hAnsi="仿宋" w:eastAsia="仿宋_GB2312"/>
          <w:color w:val="auto"/>
          <w:sz w:val="32"/>
          <w:szCs w:val="32"/>
        </w:rPr>
        <w:t>万元，比2016年度决算减少</w:t>
      </w:r>
      <w:r>
        <w:rPr>
          <w:rFonts w:hint="eastAsia" w:ascii="仿宋_GB2312" w:hAnsi="仿宋" w:eastAsia="仿宋_GB2312"/>
          <w:color w:val="auto"/>
          <w:sz w:val="32"/>
          <w:szCs w:val="32"/>
          <w:lang w:val="en-US" w:eastAsia="zh-CN"/>
        </w:rPr>
        <w:t>17.07</w:t>
      </w:r>
      <w:r>
        <w:rPr>
          <w:rFonts w:hint="eastAsia" w:ascii="仿宋_GB2312" w:hAnsi="仿宋" w:eastAsia="仿宋_GB2312"/>
          <w:color w:val="auto"/>
          <w:sz w:val="32"/>
          <w:szCs w:val="32"/>
        </w:rPr>
        <w:t>万元。</w:t>
      </w:r>
      <w:r>
        <w:rPr>
          <w:rFonts w:hint="eastAsia" w:ascii="仿宋_GB2312" w:hAnsi="仿宋" w:eastAsia="仿宋_GB2312"/>
          <w:color w:val="auto"/>
          <w:sz w:val="32"/>
          <w:szCs w:val="32"/>
          <w:highlight w:val="none"/>
        </w:rPr>
        <w:t>原因是</w:t>
      </w:r>
      <w:r>
        <w:rPr>
          <w:rFonts w:hint="eastAsia" w:ascii="仿宋_GB2312" w:hAnsi="仿宋" w:eastAsia="仿宋_GB2312"/>
          <w:color w:val="auto"/>
          <w:sz w:val="32"/>
          <w:szCs w:val="32"/>
          <w:highlight w:val="none"/>
          <w:lang w:val="en-US" w:eastAsia="zh-CN"/>
        </w:rPr>
        <w:t>本年度我单位严格落实中央“八项规定，厉行节约”</w:t>
      </w:r>
      <w:r>
        <w:rPr>
          <w:rFonts w:hint="eastAsia" w:ascii="仿宋_GB2312" w:hAnsi="仿宋" w:eastAsia="仿宋_GB2312"/>
          <w:color w:val="auto"/>
          <w:sz w:val="32"/>
          <w:szCs w:val="32"/>
          <w:highlight w:val="none"/>
        </w:rPr>
        <w:t>。其中：因公出国（境）费</w:t>
      </w:r>
      <w:r>
        <w:rPr>
          <w:rFonts w:hint="eastAsia" w:ascii="仿宋_GB2312" w:hAnsi="仿宋" w:eastAsia="仿宋_GB2312"/>
          <w:color w:val="auto"/>
          <w:sz w:val="32"/>
          <w:szCs w:val="32"/>
          <w:highlight w:val="none"/>
          <w:lang w:val="en-US" w:eastAsia="zh-CN"/>
        </w:rPr>
        <w:t>0</w:t>
      </w:r>
      <w:r>
        <w:rPr>
          <w:rFonts w:hint="eastAsia" w:ascii="仿宋_GB2312" w:hAnsi="仿宋" w:eastAsia="仿宋_GB2312"/>
          <w:color w:val="auto"/>
          <w:sz w:val="32"/>
          <w:szCs w:val="32"/>
          <w:highlight w:val="none"/>
        </w:rPr>
        <w:t>万元</w:t>
      </w:r>
      <w:r>
        <w:rPr>
          <w:rFonts w:hint="eastAsia" w:ascii="仿宋_GB2312" w:hAnsi="仿宋" w:eastAsia="仿宋_GB2312"/>
          <w:color w:val="auto"/>
          <w:sz w:val="32"/>
          <w:szCs w:val="32"/>
        </w:rPr>
        <w:t>（本单位2017年度组织出国（境）团组</w:t>
      </w:r>
      <w:r>
        <w:rPr>
          <w:rFonts w:hint="eastAsia" w:ascii="仿宋_GB2312" w:hAnsi="仿宋" w:eastAsia="仿宋_GB2312"/>
          <w:color w:val="auto"/>
          <w:sz w:val="32"/>
          <w:szCs w:val="32"/>
          <w:lang w:val="en-US" w:eastAsia="zh-CN"/>
        </w:rPr>
        <w:t>0</w:t>
      </w:r>
      <w:r>
        <w:rPr>
          <w:rFonts w:hint="eastAsia" w:ascii="仿宋_GB2312" w:hAnsi="仿宋" w:eastAsia="仿宋_GB2312"/>
          <w:color w:val="auto"/>
          <w:sz w:val="32"/>
          <w:szCs w:val="32"/>
        </w:rPr>
        <w:t>个，因公出国（境）人次数</w:t>
      </w:r>
      <w:r>
        <w:rPr>
          <w:rFonts w:hint="eastAsia" w:ascii="仿宋_GB2312" w:hAnsi="仿宋" w:eastAsia="仿宋_GB2312"/>
          <w:color w:val="auto"/>
          <w:sz w:val="32"/>
          <w:szCs w:val="32"/>
          <w:lang w:val="en-US" w:eastAsia="zh-CN"/>
        </w:rPr>
        <w:t>0</w:t>
      </w:r>
      <w:r>
        <w:rPr>
          <w:rFonts w:hint="eastAsia" w:ascii="仿宋_GB2312" w:hAnsi="仿宋" w:eastAsia="仿宋_GB2312"/>
          <w:color w:val="auto"/>
          <w:sz w:val="32"/>
          <w:szCs w:val="32"/>
        </w:rPr>
        <w:t>人），比预算</w:t>
      </w:r>
      <w:r>
        <w:rPr>
          <w:rFonts w:ascii="仿宋_GB2312" w:hAnsi="仿宋" w:eastAsia="仿宋_GB2312"/>
          <w:color w:val="auto"/>
          <w:sz w:val="32"/>
          <w:szCs w:val="32"/>
        </w:rPr>
        <w:t>增加</w:t>
      </w:r>
      <w:r>
        <w:rPr>
          <w:rFonts w:hint="eastAsia" w:ascii="仿宋_GB2312" w:hAnsi="仿宋" w:eastAsia="仿宋_GB2312"/>
          <w:color w:val="auto"/>
          <w:sz w:val="32"/>
          <w:szCs w:val="32"/>
        </w:rPr>
        <w:t>（减少）</w:t>
      </w:r>
      <w:r>
        <w:rPr>
          <w:rFonts w:hint="eastAsia" w:ascii="仿宋_GB2312" w:hAnsi="仿宋" w:eastAsia="仿宋_GB2312"/>
          <w:color w:val="auto"/>
          <w:sz w:val="32"/>
          <w:szCs w:val="32"/>
          <w:lang w:val="en-US" w:eastAsia="zh-CN"/>
        </w:rPr>
        <w:t>0</w:t>
      </w:r>
      <w:r>
        <w:rPr>
          <w:rFonts w:hint="eastAsia" w:ascii="仿宋_GB2312" w:hAnsi="仿宋" w:eastAsia="仿宋_GB2312"/>
          <w:color w:val="auto"/>
          <w:sz w:val="32"/>
          <w:szCs w:val="32"/>
        </w:rPr>
        <w:t>万元，比2016年度决算</w:t>
      </w:r>
      <w:r>
        <w:rPr>
          <w:rFonts w:ascii="仿宋_GB2312" w:hAnsi="仿宋" w:eastAsia="仿宋_GB2312"/>
          <w:color w:val="auto"/>
          <w:sz w:val="32"/>
          <w:szCs w:val="32"/>
        </w:rPr>
        <w:t>增加</w:t>
      </w:r>
      <w:r>
        <w:rPr>
          <w:rFonts w:hint="eastAsia" w:ascii="仿宋_GB2312" w:hAnsi="仿宋" w:eastAsia="仿宋_GB2312"/>
          <w:color w:val="auto"/>
          <w:sz w:val="32"/>
          <w:szCs w:val="32"/>
        </w:rPr>
        <w:t>（减少）</w:t>
      </w:r>
      <w:r>
        <w:rPr>
          <w:rFonts w:hint="eastAsia" w:ascii="仿宋_GB2312" w:hAnsi="仿宋" w:eastAsia="仿宋_GB2312"/>
          <w:color w:val="auto"/>
          <w:sz w:val="32"/>
          <w:szCs w:val="32"/>
          <w:lang w:val="en-US" w:eastAsia="zh-CN"/>
        </w:rPr>
        <w:t>0</w:t>
      </w:r>
      <w:r>
        <w:rPr>
          <w:rFonts w:hint="eastAsia" w:ascii="仿宋_GB2312" w:hAnsi="仿宋" w:eastAsia="仿宋_GB2312"/>
          <w:color w:val="auto"/>
          <w:sz w:val="32"/>
          <w:szCs w:val="32"/>
        </w:rPr>
        <w:t>万元；公务用车购置及运行维护费</w:t>
      </w:r>
      <w:r>
        <w:rPr>
          <w:rFonts w:hint="eastAsia" w:ascii="仿宋_GB2312" w:hAnsi="仿宋" w:eastAsia="仿宋_GB2312"/>
          <w:color w:val="auto"/>
          <w:sz w:val="32"/>
          <w:szCs w:val="32"/>
          <w:lang w:val="en-US" w:eastAsia="zh-CN"/>
        </w:rPr>
        <w:t>2.3</w:t>
      </w:r>
      <w:r>
        <w:rPr>
          <w:rFonts w:hint="eastAsia" w:ascii="仿宋_GB2312" w:hAnsi="仿宋" w:eastAsia="仿宋_GB2312"/>
          <w:color w:val="auto"/>
          <w:sz w:val="32"/>
          <w:szCs w:val="32"/>
        </w:rPr>
        <w:t>万元（公务用车购置数量</w:t>
      </w:r>
      <w:r>
        <w:rPr>
          <w:rFonts w:hint="eastAsia" w:ascii="仿宋_GB2312" w:hAnsi="仿宋" w:eastAsia="仿宋_GB2312"/>
          <w:color w:val="auto"/>
          <w:sz w:val="32"/>
          <w:szCs w:val="32"/>
          <w:lang w:val="en-US" w:eastAsia="zh-CN"/>
        </w:rPr>
        <w:t>0</w:t>
      </w:r>
      <w:r>
        <w:rPr>
          <w:rFonts w:hint="eastAsia" w:ascii="仿宋_GB2312" w:hAnsi="仿宋" w:eastAsia="仿宋_GB2312"/>
          <w:color w:val="auto"/>
          <w:sz w:val="32"/>
          <w:szCs w:val="32"/>
        </w:rPr>
        <w:t>辆，购置金额</w:t>
      </w:r>
      <w:r>
        <w:rPr>
          <w:rFonts w:hint="eastAsia" w:ascii="仿宋_GB2312" w:hAnsi="仿宋" w:eastAsia="仿宋_GB2312"/>
          <w:color w:val="auto"/>
          <w:sz w:val="32"/>
          <w:szCs w:val="32"/>
          <w:lang w:val="en-US" w:eastAsia="zh-CN"/>
        </w:rPr>
        <w:t>0</w:t>
      </w:r>
      <w:r>
        <w:rPr>
          <w:rFonts w:hint="eastAsia" w:ascii="仿宋_GB2312" w:hAnsi="仿宋" w:eastAsia="仿宋_GB2312"/>
          <w:color w:val="auto"/>
          <w:sz w:val="32"/>
          <w:szCs w:val="32"/>
        </w:rPr>
        <w:t>万元，公车运行维护费</w:t>
      </w:r>
      <w:r>
        <w:rPr>
          <w:rFonts w:hint="eastAsia" w:ascii="仿宋_GB2312" w:hAnsi="仿宋" w:eastAsia="仿宋_GB2312"/>
          <w:color w:val="auto"/>
          <w:sz w:val="32"/>
          <w:szCs w:val="32"/>
          <w:lang w:val="en-US" w:eastAsia="zh-CN"/>
        </w:rPr>
        <w:t>2.3</w:t>
      </w:r>
      <w:r>
        <w:rPr>
          <w:rFonts w:hint="eastAsia" w:ascii="仿宋_GB2312" w:hAnsi="仿宋" w:eastAsia="仿宋_GB2312"/>
          <w:color w:val="auto"/>
          <w:sz w:val="32"/>
          <w:szCs w:val="32"/>
        </w:rPr>
        <w:t>万元，年末公务用车保有量</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辆），比预算减少</w:t>
      </w:r>
      <w:r>
        <w:rPr>
          <w:rFonts w:hint="eastAsia" w:ascii="仿宋_GB2312" w:hAnsi="仿宋" w:eastAsia="仿宋_GB2312"/>
          <w:color w:val="auto"/>
          <w:sz w:val="32"/>
          <w:szCs w:val="32"/>
          <w:lang w:val="en-US" w:eastAsia="zh-CN"/>
        </w:rPr>
        <w:t>0.57</w:t>
      </w:r>
      <w:r>
        <w:rPr>
          <w:rFonts w:hint="eastAsia" w:ascii="仿宋_GB2312" w:hAnsi="仿宋" w:eastAsia="仿宋_GB2312"/>
          <w:color w:val="auto"/>
          <w:sz w:val="32"/>
          <w:szCs w:val="32"/>
        </w:rPr>
        <w:t>万元，比2016年度决算减少</w:t>
      </w:r>
      <w:r>
        <w:rPr>
          <w:rFonts w:hint="eastAsia" w:ascii="仿宋_GB2312" w:hAnsi="仿宋" w:eastAsia="仿宋_GB2312"/>
          <w:color w:val="auto"/>
          <w:sz w:val="32"/>
          <w:szCs w:val="32"/>
          <w:lang w:val="en-US" w:eastAsia="zh-CN"/>
        </w:rPr>
        <w:t>17.07</w:t>
      </w:r>
      <w:r>
        <w:rPr>
          <w:rFonts w:hint="eastAsia" w:ascii="仿宋_GB2312" w:hAnsi="仿宋" w:eastAsia="仿宋_GB2312"/>
          <w:color w:val="auto"/>
          <w:sz w:val="32"/>
          <w:szCs w:val="32"/>
        </w:rPr>
        <w:t>万元，</w:t>
      </w:r>
      <w:r>
        <w:rPr>
          <w:rFonts w:hint="eastAsia" w:ascii="仿宋_GB2312" w:hAnsi="仿宋" w:eastAsia="仿宋_GB2312"/>
          <w:color w:val="auto"/>
          <w:sz w:val="32"/>
          <w:szCs w:val="32"/>
          <w:highlight w:val="none"/>
        </w:rPr>
        <w:t>原因是</w:t>
      </w:r>
      <w:r>
        <w:rPr>
          <w:rFonts w:hint="eastAsia" w:ascii="仿宋_GB2312" w:hAnsi="仿宋" w:eastAsia="仿宋_GB2312"/>
          <w:color w:val="auto"/>
          <w:sz w:val="32"/>
          <w:szCs w:val="32"/>
          <w:highlight w:val="none"/>
          <w:lang w:val="en-US" w:eastAsia="zh-CN"/>
        </w:rPr>
        <w:t>缩减了公车支出的费用</w:t>
      </w:r>
      <w:r>
        <w:rPr>
          <w:rFonts w:hint="eastAsia" w:ascii="仿宋_GB2312" w:hAnsi="仿宋" w:eastAsia="仿宋_GB2312"/>
          <w:color w:val="auto"/>
          <w:sz w:val="32"/>
          <w:szCs w:val="32"/>
          <w:highlight w:val="none"/>
        </w:rPr>
        <w:t>；公务接待费</w:t>
      </w:r>
      <w:r>
        <w:rPr>
          <w:rFonts w:hint="eastAsia" w:ascii="仿宋_GB2312" w:hAnsi="仿宋" w:eastAsia="仿宋_GB2312"/>
          <w:color w:val="auto"/>
          <w:sz w:val="32"/>
          <w:szCs w:val="32"/>
          <w:highlight w:val="none"/>
          <w:lang w:val="en-US" w:eastAsia="zh-CN"/>
        </w:rPr>
        <w:t>0</w:t>
      </w:r>
      <w:r>
        <w:rPr>
          <w:rFonts w:hint="eastAsia" w:ascii="仿宋_GB2312" w:hAnsi="仿宋" w:eastAsia="仿宋_GB2312"/>
          <w:color w:val="auto"/>
          <w:sz w:val="32"/>
          <w:szCs w:val="32"/>
        </w:rPr>
        <w:t>万元（2017年度国内公务接待</w:t>
      </w:r>
      <w:r>
        <w:rPr>
          <w:rFonts w:hint="eastAsia" w:ascii="仿宋_GB2312" w:hAnsi="仿宋" w:eastAsia="仿宋_GB2312"/>
          <w:color w:val="auto"/>
          <w:sz w:val="32"/>
          <w:szCs w:val="32"/>
          <w:lang w:val="en-US" w:eastAsia="zh-CN"/>
        </w:rPr>
        <w:t>0</w:t>
      </w:r>
      <w:r>
        <w:rPr>
          <w:rFonts w:hint="eastAsia" w:ascii="仿宋_GB2312" w:hAnsi="仿宋" w:eastAsia="仿宋_GB2312"/>
          <w:color w:val="auto"/>
          <w:sz w:val="32"/>
          <w:szCs w:val="32"/>
        </w:rPr>
        <w:t>批次，合计接待</w:t>
      </w:r>
      <w:r>
        <w:rPr>
          <w:rFonts w:hint="eastAsia" w:ascii="仿宋_GB2312" w:hAnsi="仿宋" w:eastAsia="仿宋_GB2312"/>
          <w:color w:val="auto"/>
          <w:sz w:val="32"/>
          <w:szCs w:val="32"/>
          <w:lang w:val="en-US" w:eastAsia="zh-CN"/>
        </w:rPr>
        <w:t>0</w:t>
      </w:r>
      <w:r>
        <w:rPr>
          <w:rFonts w:hint="eastAsia" w:ascii="仿宋_GB2312" w:hAnsi="仿宋" w:eastAsia="仿宋_GB2312"/>
          <w:color w:val="auto"/>
          <w:sz w:val="32"/>
          <w:szCs w:val="32"/>
        </w:rPr>
        <w:t>人次），比预算</w:t>
      </w:r>
      <w:r>
        <w:rPr>
          <w:rFonts w:ascii="仿宋_GB2312" w:hAnsi="仿宋" w:eastAsia="仿宋_GB2312"/>
          <w:color w:val="auto"/>
          <w:sz w:val="32"/>
          <w:szCs w:val="32"/>
        </w:rPr>
        <w:t>增加</w:t>
      </w:r>
      <w:r>
        <w:rPr>
          <w:rFonts w:hint="eastAsia" w:ascii="仿宋_GB2312" w:hAnsi="仿宋" w:eastAsia="仿宋_GB2312"/>
          <w:color w:val="auto"/>
          <w:sz w:val="32"/>
          <w:szCs w:val="32"/>
        </w:rPr>
        <w:t>（减少）</w:t>
      </w:r>
      <w:r>
        <w:rPr>
          <w:rFonts w:hint="eastAsia" w:ascii="仿宋_GB2312" w:hAnsi="仿宋" w:eastAsia="仿宋_GB2312"/>
          <w:color w:val="auto"/>
          <w:sz w:val="32"/>
          <w:szCs w:val="32"/>
          <w:lang w:val="en-US" w:eastAsia="zh-CN"/>
        </w:rPr>
        <w:t>0</w:t>
      </w:r>
      <w:r>
        <w:rPr>
          <w:rFonts w:hint="eastAsia" w:ascii="仿宋_GB2312" w:hAnsi="仿宋" w:eastAsia="仿宋_GB2312"/>
          <w:color w:val="auto"/>
          <w:sz w:val="32"/>
          <w:szCs w:val="32"/>
        </w:rPr>
        <w:t>万元，比2016年度决算</w:t>
      </w:r>
      <w:r>
        <w:rPr>
          <w:rFonts w:ascii="仿宋_GB2312" w:hAnsi="仿宋" w:eastAsia="仿宋_GB2312"/>
          <w:color w:val="auto"/>
          <w:sz w:val="32"/>
          <w:szCs w:val="32"/>
        </w:rPr>
        <w:t>增加</w:t>
      </w:r>
      <w:r>
        <w:rPr>
          <w:rFonts w:hint="eastAsia" w:ascii="仿宋_GB2312" w:hAnsi="仿宋" w:eastAsia="仿宋_GB2312"/>
          <w:color w:val="auto"/>
          <w:sz w:val="32"/>
          <w:szCs w:val="32"/>
        </w:rPr>
        <w:t>（减少）</w:t>
      </w:r>
      <w:r>
        <w:rPr>
          <w:rFonts w:hint="eastAsia" w:ascii="仿宋_GB2312" w:hAnsi="仿宋" w:eastAsia="仿宋_GB2312"/>
          <w:color w:val="auto"/>
          <w:sz w:val="32"/>
          <w:szCs w:val="32"/>
          <w:lang w:val="en-US" w:eastAsia="zh-CN"/>
        </w:rPr>
        <w:t>0</w:t>
      </w:r>
      <w:r>
        <w:rPr>
          <w:rFonts w:hint="eastAsia" w:ascii="仿宋_GB2312" w:hAnsi="仿宋" w:eastAsia="仿宋_GB2312"/>
          <w:color w:val="auto"/>
          <w:sz w:val="32"/>
          <w:szCs w:val="32"/>
        </w:rPr>
        <w:t>万元。</w:t>
      </w:r>
      <w:r>
        <w:rPr>
          <w:rFonts w:hint="eastAsia" w:ascii="仿宋_GB2312" w:hAnsi="仿宋" w:eastAsia="仿宋_GB2312"/>
          <w:color w:val="auto"/>
          <w:sz w:val="32"/>
          <w:szCs w:val="32"/>
          <w:lang w:val="en-US" w:eastAsia="zh-CN"/>
        </w:rPr>
        <w:t>原因是本年无公务接待。</w:t>
      </w:r>
    </w:p>
    <w:p>
      <w:pPr>
        <w:snapToGrid w:val="0"/>
        <w:spacing w:line="560" w:lineRule="exact"/>
        <w:ind w:firstLine="643" w:firstLineChars="200"/>
        <w:rPr>
          <w:rFonts w:ascii="楷体" w:hAnsi="楷体" w:eastAsia="楷体" w:cs="楷体"/>
          <w:b/>
          <w:bCs/>
          <w:color w:val="auto"/>
          <w:sz w:val="32"/>
          <w:szCs w:val="32"/>
          <w:highlight w:val="none"/>
        </w:rPr>
      </w:pPr>
      <w:r>
        <w:rPr>
          <w:rFonts w:hint="eastAsia" w:ascii="楷体" w:hAnsi="楷体" w:eastAsia="楷体" w:cs="楷体"/>
          <w:b/>
          <w:bCs/>
          <w:color w:val="auto"/>
          <w:sz w:val="32"/>
          <w:szCs w:val="32"/>
          <w:highlight w:val="none"/>
        </w:rPr>
        <w:t>（六）预算绩效管理工作开展情况说明</w:t>
      </w:r>
    </w:p>
    <w:p>
      <w:pPr>
        <w:autoSpaceDE w:val="0"/>
        <w:autoSpaceDN w:val="0"/>
        <w:snapToGrid w:val="0"/>
        <w:spacing w:line="560" w:lineRule="exact"/>
        <w:ind w:firstLine="643" w:firstLineChars="200"/>
        <w:rPr>
          <w:rFonts w:ascii="仿宋_GB2312" w:hAnsi="仿宋_GB2312" w:eastAsia="仿宋_GB2312" w:cs="仿宋_GB2312"/>
          <w:b/>
          <w:bCs/>
          <w:color w:val="auto"/>
          <w:kern w:val="0"/>
          <w:sz w:val="32"/>
          <w:szCs w:val="32"/>
          <w:highlight w:val="none"/>
          <w:shd w:val="clear" w:color="auto" w:fill="FFFFFF"/>
        </w:rPr>
      </w:pPr>
      <w:r>
        <w:rPr>
          <w:rFonts w:hint="eastAsia" w:ascii="仿宋_GB2312" w:hAnsi="仿宋_GB2312" w:eastAsia="仿宋_GB2312" w:cs="仿宋_GB2312"/>
          <w:b/>
          <w:bCs/>
          <w:color w:val="auto"/>
          <w:kern w:val="0"/>
          <w:sz w:val="32"/>
          <w:szCs w:val="32"/>
          <w:highlight w:val="none"/>
          <w:shd w:val="clear" w:color="auto" w:fill="FFFFFF"/>
        </w:rPr>
        <w:t>1、预算绩效管理工作开展情况</w:t>
      </w:r>
    </w:p>
    <w:p>
      <w:pPr>
        <w:autoSpaceDE w:val="0"/>
        <w:autoSpaceDN w:val="0"/>
        <w:snapToGrid w:val="0"/>
        <w:spacing w:line="560" w:lineRule="exact"/>
        <w:ind w:firstLine="640" w:firstLineChars="200"/>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color w:val="auto"/>
          <w:kern w:val="0"/>
          <w:sz w:val="32"/>
          <w:szCs w:val="32"/>
          <w:highlight w:val="none"/>
          <w:shd w:val="clear" w:color="auto" w:fill="FFFFFF"/>
          <w:lang w:val="en-US" w:eastAsia="zh-CN"/>
        </w:rPr>
        <w:t>本部门对2017年政务管理、机关事务管理、执法培训、信息网络等工作进行了绩效评价。</w:t>
      </w:r>
    </w:p>
    <w:p>
      <w:pPr>
        <w:autoSpaceDE w:val="0"/>
        <w:autoSpaceDN w:val="0"/>
        <w:snapToGrid w:val="0"/>
        <w:spacing w:line="560" w:lineRule="exact"/>
        <w:ind w:firstLine="643" w:firstLineChars="200"/>
        <w:rPr>
          <w:rFonts w:ascii="仿宋_GB2312" w:hAnsi="仿宋_GB2312" w:eastAsia="仿宋_GB2312" w:cs="仿宋_GB2312"/>
          <w:b/>
          <w:bCs/>
          <w:color w:val="auto"/>
          <w:kern w:val="0"/>
          <w:sz w:val="32"/>
          <w:szCs w:val="32"/>
          <w:highlight w:val="none"/>
          <w:shd w:val="clear" w:color="auto" w:fill="FFFFFF"/>
        </w:rPr>
      </w:pPr>
      <w:r>
        <w:rPr>
          <w:rFonts w:hint="eastAsia" w:ascii="仿宋_GB2312" w:hAnsi="仿宋_GB2312" w:eastAsia="仿宋_GB2312" w:cs="仿宋_GB2312"/>
          <w:b/>
          <w:bCs/>
          <w:color w:val="auto"/>
          <w:kern w:val="0"/>
          <w:sz w:val="32"/>
          <w:szCs w:val="32"/>
          <w:highlight w:val="none"/>
          <w:shd w:val="clear" w:color="auto" w:fill="FFFFFF"/>
        </w:rPr>
        <w:t>2、预算项目绩效评价开展情况</w:t>
      </w:r>
    </w:p>
    <w:p>
      <w:pPr>
        <w:autoSpaceDE w:val="0"/>
        <w:autoSpaceDN w:val="0"/>
        <w:snapToGrid w:val="0"/>
        <w:spacing w:line="560" w:lineRule="exact"/>
        <w:ind w:firstLine="640" w:firstLineChars="200"/>
        <w:rPr>
          <w:rFonts w:hint="eastAsia" w:ascii="仿宋_GB2312" w:hAnsi="仿宋_GB2312" w:eastAsia="仿宋_GB2312" w:cs="仿宋_GB2312"/>
          <w:color w:val="auto"/>
          <w:kern w:val="0"/>
          <w:sz w:val="32"/>
          <w:szCs w:val="32"/>
          <w:highlight w:val="none"/>
          <w:shd w:val="clear" w:color="auto" w:fill="FFFFFF"/>
          <w:lang w:val="en-US" w:eastAsia="zh-CN"/>
        </w:rPr>
      </w:pPr>
      <w:r>
        <w:rPr>
          <w:rFonts w:hint="eastAsia" w:ascii="仿宋_GB2312" w:hAnsi="仿宋_GB2312" w:eastAsia="仿宋_GB2312" w:cs="仿宋_GB2312"/>
          <w:color w:val="auto"/>
          <w:kern w:val="0"/>
          <w:sz w:val="32"/>
          <w:szCs w:val="32"/>
          <w:highlight w:val="none"/>
          <w:shd w:val="clear" w:color="auto" w:fill="FFFFFF"/>
          <w:lang w:val="en-US" w:eastAsia="zh-CN"/>
        </w:rPr>
        <w:t>针对工作中可能出现的问题和执行情况进行了分类打分，优化整顿，评价的结果是使各项工作更加完善合理，提高了工作效率。</w:t>
      </w:r>
    </w:p>
    <w:p>
      <w:pPr>
        <w:snapToGrid w:val="0"/>
        <w:spacing w:line="560" w:lineRule="exact"/>
        <w:ind w:firstLine="643" w:firstLineChars="200"/>
        <w:rPr>
          <w:rFonts w:ascii="楷体" w:hAnsi="楷体" w:eastAsia="楷体" w:cs="楷体"/>
          <w:b/>
          <w:bCs/>
          <w:color w:val="auto"/>
          <w:sz w:val="32"/>
          <w:szCs w:val="32"/>
        </w:rPr>
      </w:pPr>
      <w:r>
        <w:rPr>
          <w:rFonts w:hint="eastAsia" w:ascii="楷体" w:hAnsi="楷体" w:eastAsia="楷体" w:cs="楷体"/>
          <w:b/>
          <w:bCs/>
          <w:color w:val="auto"/>
          <w:sz w:val="32"/>
          <w:szCs w:val="32"/>
        </w:rPr>
        <w:t>（七）其他重要事项的说明</w:t>
      </w:r>
    </w:p>
    <w:p>
      <w:pPr>
        <w:widowControl/>
        <w:spacing w:line="560" w:lineRule="exact"/>
        <w:ind w:firstLine="643" w:firstLineChars="200"/>
        <w:rPr>
          <w:rFonts w:ascii="仿宋_GB2312" w:hAnsi="仿宋" w:eastAsia="仿宋_GB2312"/>
          <w:color w:val="auto"/>
          <w:sz w:val="32"/>
          <w:szCs w:val="32"/>
          <w:highlight w:val="none"/>
        </w:rPr>
      </w:pPr>
      <w:r>
        <w:rPr>
          <w:rFonts w:eastAsia="仿宋_GB2312"/>
          <w:b/>
          <w:bCs/>
          <w:color w:val="auto"/>
          <w:sz w:val="32"/>
          <w:szCs w:val="32"/>
        </w:rPr>
        <w:t>1</w:t>
      </w:r>
      <w:r>
        <w:rPr>
          <w:rFonts w:hint="eastAsia" w:eastAsia="仿宋_GB2312"/>
          <w:b/>
          <w:bCs/>
          <w:color w:val="auto"/>
          <w:sz w:val="32"/>
          <w:szCs w:val="32"/>
        </w:rPr>
        <w:t>、</w:t>
      </w:r>
      <w:r>
        <w:rPr>
          <w:rFonts w:eastAsia="仿宋_GB2312"/>
          <w:b/>
          <w:bCs/>
          <w:color w:val="auto"/>
          <w:sz w:val="32"/>
          <w:szCs w:val="32"/>
        </w:rPr>
        <w:t>机关运行经费情况</w:t>
      </w:r>
      <w:r>
        <w:rPr>
          <w:rFonts w:hint="eastAsia" w:eastAsia="仿宋_GB2312"/>
          <w:b/>
          <w:bCs/>
          <w:color w:val="auto"/>
          <w:sz w:val="32"/>
          <w:szCs w:val="32"/>
        </w:rPr>
        <w:t>：</w:t>
      </w:r>
      <w:r>
        <w:rPr>
          <w:rFonts w:hint="eastAsia" w:ascii="仿宋_GB2312" w:hAnsi="仿宋" w:eastAsia="仿宋_GB2312"/>
          <w:color w:val="auto"/>
          <w:sz w:val="32"/>
          <w:szCs w:val="32"/>
        </w:rPr>
        <w:t>2017年度部门机关运行经费支出</w:t>
      </w:r>
      <w:r>
        <w:rPr>
          <w:rFonts w:hint="eastAsia" w:ascii="仿宋_GB2312" w:hAnsi="仿宋" w:eastAsia="仿宋_GB2312"/>
          <w:color w:val="auto"/>
          <w:sz w:val="32"/>
          <w:szCs w:val="32"/>
          <w:lang w:val="en-US" w:eastAsia="zh-CN"/>
        </w:rPr>
        <w:t>35.71</w:t>
      </w:r>
      <w:r>
        <w:rPr>
          <w:rFonts w:hint="eastAsia" w:ascii="仿宋_GB2312" w:hAnsi="仿宋" w:eastAsia="仿宋_GB2312"/>
          <w:color w:val="auto"/>
          <w:sz w:val="32"/>
          <w:szCs w:val="32"/>
        </w:rPr>
        <w:t>万元，比2016年度</w:t>
      </w:r>
      <w:r>
        <w:rPr>
          <w:rFonts w:ascii="仿宋_GB2312" w:hAnsi="仿宋" w:eastAsia="仿宋_GB2312"/>
          <w:color w:val="auto"/>
          <w:sz w:val="32"/>
          <w:szCs w:val="32"/>
        </w:rPr>
        <w:t>增加</w:t>
      </w:r>
      <w:r>
        <w:rPr>
          <w:rFonts w:hint="eastAsia" w:ascii="仿宋_GB2312" w:hAnsi="仿宋" w:eastAsia="仿宋_GB2312"/>
          <w:color w:val="auto"/>
          <w:sz w:val="32"/>
          <w:szCs w:val="32"/>
          <w:lang w:val="en-US" w:eastAsia="zh-CN"/>
        </w:rPr>
        <w:t>16.91</w:t>
      </w:r>
      <w:r>
        <w:rPr>
          <w:rFonts w:hint="eastAsia" w:ascii="仿宋_GB2312" w:hAnsi="仿宋" w:eastAsia="仿宋_GB2312"/>
          <w:color w:val="auto"/>
          <w:sz w:val="32"/>
          <w:szCs w:val="32"/>
        </w:rPr>
        <w:t>万元，</w:t>
      </w:r>
      <w:r>
        <w:rPr>
          <w:rFonts w:hint="eastAsia" w:ascii="仿宋" w:hAnsi="仿宋" w:eastAsia="仿宋" w:cs="仿宋"/>
          <w:color w:val="auto"/>
          <w:sz w:val="32"/>
        </w:rPr>
        <w:t>增长</w:t>
      </w:r>
      <w:r>
        <w:rPr>
          <w:rFonts w:hint="eastAsia" w:ascii="仿宋" w:hAnsi="仿宋" w:eastAsia="仿宋" w:cs="仿宋"/>
          <w:color w:val="auto"/>
          <w:sz w:val="32"/>
          <w:highlight w:val="none"/>
          <w:lang w:val="en-US" w:eastAsia="zh-CN"/>
        </w:rPr>
        <w:t>89.95</w:t>
      </w:r>
      <w:r>
        <w:rPr>
          <w:rFonts w:hint="eastAsia" w:ascii="仿宋" w:hAnsi="仿宋" w:eastAsia="仿宋" w:cs="仿宋"/>
          <w:color w:val="auto"/>
          <w:sz w:val="32"/>
          <w:highlight w:val="none"/>
        </w:rPr>
        <w:t>%</w:t>
      </w:r>
      <w:r>
        <w:rPr>
          <w:rFonts w:hint="eastAsia" w:ascii="仿宋" w:hAnsi="仿宋" w:eastAsia="仿宋" w:cs="仿宋"/>
          <w:color w:val="auto"/>
          <w:sz w:val="32"/>
        </w:rPr>
        <w:t>。</w:t>
      </w:r>
      <w:r>
        <w:rPr>
          <w:rFonts w:hint="eastAsia" w:ascii="仿宋" w:hAnsi="仿宋" w:eastAsia="仿宋" w:cs="仿宋"/>
          <w:color w:val="auto"/>
          <w:sz w:val="32"/>
          <w:highlight w:val="none"/>
        </w:rPr>
        <w:t>主要</w:t>
      </w:r>
      <w:r>
        <w:rPr>
          <w:rFonts w:hint="eastAsia" w:ascii="仿宋_GB2312" w:hAnsi="仿宋" w:eastAsia="仿宋_GB2312"/>
          <w:color w:val="auto"/>
          <w:sz w:val="32"/>
          <w:szCs w:val="32"/>
          <w:highlight w:val="none"/>
        </w:rPr>
        <w:t>原因是新建群众工作中心接待大厅。</w:t>
      </w:r>
    </w:p>
    <w:p>
      <w:pPr>
        <w:autoSpaceDE w:val="0"/>
        <w:autoSpaceDN w:val="0"/>
        <w:snapToGrid w:val="0"/>
        <w:spacing w:line="560" w:lineRule="exact"/>
        <w:ind w:firstLine="643" w:firstLineChars="200"/>
        <w:rPr>
          <w:rFonts w:ascii="仿宋_GB2312" w:hAnsi="仿宋_GB2312" w:eastAsia="仿宋_GB2312" w:cs="仿宋_GB2312"/>
          <w:color w:val="auto"/>
          <w:kern w:val="0"/>
          <w:sz w:val="32"/>
          <w:szCs w:val="32"/>
          <w:shd w:val="clear" w:color="auto" w:fill="FFFFFF"/>
        </w:rPr>
      </w:pPr>
      <w:r>
        <w:rPr>
          <w:rFonts w:eastAsia="仿宋_GB2312"/>
          <w:b/>
          <w:bCs/>
          <w:color w:val="auto"/>
          <w:sz w:val="32"/>
          <w:szCs w:val="32"/>
        </w:rPr>
        <w:t>2</w:t>
      </w:r>
      <w:r>
        <w:rPr>
          <w:rFonts w:hint="eastAsia" w:eastAsia="仿宋_GB2312"/>
          <w:b/>
          <w:bCs/>
          <w:color w:val="auto"/>
          <w:sz w:val="32"/>
          <w:szCs w:val="32"/>
        </w:rPr>
        <w:t>、</w:t>
      </w:r>
      <w:r>
        <w:rPr>
          <w:rFonts w:eastAsia="仿宋_GB2312"/>
          <w:b/>
          <w:bCs/>
          <w:color w:val="auto"/>
          <w:sz w:val="32"/>
          <w:szCs w:val="32"/>
        </w:rPr>
        <w:t>政府采购情况</w:t>
      </w:r>
      <w:r>
        <w:rPr>
          <w:rFonts w:hint="eastAsia" w:eastAsia="仿宋_GB2312"/>
          <w:b/>
          <w:bCs/>
          <w:color w:val="auto"/>
          <w:sz w:val="32"/>
          <w:szCs w:val="32"/>
        </w:rPr>
        <w:t>：</w:t>
      </w:r>
      <w:r>
        <w:rPr>
          <w:rFonts w:ascii="仿宋_GB2312" w:hAnsi="仿宋_GB2312" w:eastAsia="仿宋_GB2312" w:cs="仿宋_GB2312"/>
          <w:color w:val="auto"/>
          <w:kern w:val="0"/>
          <w:sz w:val="32"/>
          <w:szCs w:val="32"/>
          <w:shd w:val="clear" w:color="auto" w:fill="FFFFFF"/>
        </w:rPr>
        <w:t>201</w:t>
      </w:r>
      <w:r>
        <w:rPr>
          <w:rFonts w:hint="eastAsia" w:ascii="仿宋_GB2312" w:hAnsi="仿宋_GB2312" w:eastAsia="仿宋_GB2312" w:cs="仿宋_GB2312"/>
          <w:color w:val="auto"/>
          <w:kern w:val="0"/>
          <w:sz w:val="32"/>
          <w:szCs w:val="32"/>
          <w:shd w:val="clear" w:color="auto" w:fill="FFFFFF"/>
        </w:rPr>
        <w:t>7</w:t>
      </w:r>
      <w:r>
        <w:rPr>
          <w:rFonts w:ascii="仿宋_GB2312" w:hAnsi="仿宋_GB2312" w:eastAsia="仿宋_GB2312" w:cs="仿宋_GB2312"/>
          <w:color w:val="auto"/>
          <w:kern w:val="0"/>
          <w:sz w:val="32"/>
          <w:szCs w:val="32"/>
          <w:shd w:val="clear" w:color="auto" w:fill="FFFFFF"/>
        </w:rPr>
        <w:t>年</w:t>
      </w:r>
      <w:r>
        <w:rPr>
          <w:rFonts w:hint="eastAsia" w:ascii="仿宋_GB2312" w:hAnsi="仿宋_GB2312" w:eastAsia="仿宋_GB2312" w:cs="仿宋_GB2312"/>
          <w:color w:val="auto"/>
          <w:kern w:val="0"/>
          <w:sz w:val="32"/>
          <w:szCs w:val="32"/>
          <w:shd w:val="clear" w:color="auto" w:fill="FFFFFF"/>
        </w:rPr>
        <w:t>度部门</w:t>
      </w:r>
      <w:r>
        <w:rPr>
          <w:rFonts w:ascii="仿宋_GB2312" w:hAnsi="仿宋_GB2312" w:eastAsia="仿宋_GB2312" w:cs="仿宋_GB2312"/>
          <w:color w:val="auto"/>
          <w:kern w:val="0"/>
          <w:sz w:val="32"/>
          <w:szCs w:val="32"/>
          <w:shd w:val="clear" w:color="auto" w:fill="FFFFFF"/>
        </w:rPr>
        <w:t>政府采购</w:t>
      </w:r>
      <w:r>
        <w:rPr>
          <w:rFonts w:hint="eastAsia" w:ascii="仿宋_GB2312" w:hAnsi="仿宋_GB2312" w:eastAsia="仿宋_GB2312" w:cs="仿宋_GB2312"/>
          <w:color w:val="auto"/>
          <w:kern w:val="0"/>
          <w:sz w:val="32"/>
          <w:szCs w:val="32"/>
          <w:shd w:val="clear" w:color="auto" w:fill="FFFFFF"/>
        </w:rPr>
        <w:t>支出</w:t>
      </w:r>
      <w:r>
        <w:rPr>
          <w:rFonts w:hint="eastAsia" w:ascii="仿宋_GB2312" w:hAnsi="仿宋" w:eastAsia="仿宋_GB2312"/>
          <w:color w:val="auto"/>
          <w:sz w:val="32"/>
          <w:szCs w:val="32"/>
          <w:lang w:val="en-US" w:eastAsia="zh-CN"/>
        </w:rPr>
        <w:t>0</w:t>
      </w:r>
      <w:r>
        <w:rPr>
          <w:rFonts w:ascii="仿宋_GB2312" w:hAnsi="仿宋_GB2312" w:eastAsia="仿宋_GB2312" w:cs="仿宋_GB2312"/>
          <w:color w:val="auto"/>
          <w:kern w:val="0"/>
          <w:sz w:val="32"/>
          <w:szCs w:val="32"/>
          <w:shd w:val="clear" w:color="auto" w:fill="FFFFFF"/>
        </w:rPr>
        <w:t>万元</w:t>
      </w:r>
      <w:r>
        <w:rPr>
          <w:rFonts w:hint="eastAsia" w:ascii="仿宋_GB2312" w:hAnsi="仿宋_GB2312" w:eastAsia="仿宋_GB2312" w:cs="仿宋_GB2312"/>
          <w:color w:val="auto"/>
          <w:kern w:val="0"/>
          <w:sz w:val="32"/>
          <w:szCs w:val="32"/>
          <w:shd w:val="clear" w:color="auto" w:fill="FFFFFF"/>
        </w:rPr>
        <w:t>，其中：政府采购货物支出</w:t>
      </w:r>
      <w:r>
        <w:rPr>
          <w:rFonts w:hint="eastAsia" w:ascii="仿宋_GB2312" w:hAnsi="仿宋" w:eastAsia="仿宋_GB2312"/>
          <w:color w:val="auto"/>
          <w:sz w:val="32"/>
          <w:szCs w:val="32"/>
          <w:lang w:val="en-US" w:eastAsia="zh-CN"/>
        </w:rPr>
        <w:t>0</w:t>
      </w:r>
      <w:r>
        <w:rPr>
          <w:rFonts w:hint="eastAsia" w:ascii="仿宋_GB2312" w:hAnsi="仿宋_GB2312" w:eastAsia="仿宋_GB2312" w:cs="仿宋_GB2312"/>
          <w:color w:val="auto"/>
          <w:kern w:val="0"/>
          <w:sz w:val="32"/>
          <w:szCs w:val="32"/>
          <w:shd w:val="clear" w:color="auto" w:fill="FFFFFF"/>
        </w:rPr>
        <w:t>万元，政府采购工程支出</w:t>
      </w:r>
      <w:r>
        <w:rPr>
          <w:rFonts w:hint="eastAsia" w:ascii="仿宋_GB2312" w:hAnsi="仿宋" w:eastAsia="仿宋_GB2312"/>
          <w:color w:val="auto"/>
          <w:sz w:val="32"/>
          <w:szCs w:val="32"/>
          <w:lang w:val="en-US" w:eastAsia="zh-CN"/>
        </w:rPr>
        <w:t>0</w:t>
      </w:r>
      <w:r>
        <w:rPr>
          <w:rFonts w:hint="eastAsia" w:ascii="仿宋_GB2312" w:hAnsi="仿宋_GB2312" w:eastAsia="仿宋_GB2312" w:cs="仿宋_GB2312"/>
          <w:color w:val="auto"/>
          <w:kern w:val="0"/>
          <w:sz w:val="32"/>
          <w:szCs w:val="32"/>
          <w:shd w:val="clear" w:color="auto" w:fill="FFFFFF"/>
        </w:rPr>
        <w:t>万元，政府采购服务支出</w:t>
      </w:r>
      <w:r>
        <w:rPr>
          <w:rFonts w:hint="eastAsia" w:ascii="仿宋_GB2312" w:hAnsi="仿宋" w:eastAsia="仿宋_GB2312"/>
          <w:color w:val="auto"/>
          <w:sz w:val="32"/>
          <w:szCs w:val="32"/>
          <w:lang w:val="en-US" w:eastAsia="zh-CN"/>
        </w:rPr>
        <w:t>0</w:t>
      </w:r>
      <w:r>
        <w:rPr>
          <w:rFonts w:hint="eastAsia" w:ascii="仿宋_GB2312" w:hAnsi="仿宋_GB2312" w:eastAsia="仿宋_GB2312" w:cs="仿宋_GB2312"/>
          <w:color w:val="auto"/>
          <w:kern w:val="0"/>
          <w:sz w:val="32"/>
          <w:szCs w:val="32"/>
          <w:shd w:val="clear" w:color="auto" w:fill="FFFFFF"/>
        </w:rPr>
        <w:t>万元。</w:t>
      </w:r>
    </w:p>
    <w:p>
      <w:pPr>
        <w:widowControl/>
        <w:spacing w:line="560" w:lineRule="exact"/>
        <w:ind w:firstLine="643" w:firstLineChars="200"/>
        <w:rPr>
          <w:rFonts w:ascii="仿宋_GB2312" w:hAnsi="仿宋_GB2312" w:eastAsia="仿宋_GB2312" w:cs="仿宋_GB2312"/>
          <w:color w:val="auto"/>
          <w:kern w:val="0"/>
          <w:sz w:val="32"/>
          <w:szCs w:val="32"/>
          <w:shd w:val="clear" w:color="auto" w:fill="FFFFFF"/>
        </w:rPr>
      </w:pPr>
      <w:r>
        <w:rPr>
          <w:rFonts w:eastAsia="仿宋_GB2312"/>
          <w:b/>
          <w:bCs/>
          <w:color w:val="auto"/>
          <w:sz w:val="32"/>
          <w:szCs w:val="32"/>
        </w:rPr>
        <w:t>3</w:t>
      </w:r>
      <w:r>
        <w:rPr>
          <w:rFonts w:hint="eastAsia" w:eastAsia="仿宋_GB2312"/>
          <w:b/>
          <w:bCs/>
          <w:color w:val="auto"/>
          <w:sz w:val="32"/>
          <w:szCs w:val="32"/>
        </w:rPr>
        <w:t>、</w:t>
      </w:r>
      <w:r>
        <w:rPr>
          <w:rFonts w:eastAsia="仿宋_GB2312"/>
          <w:b/>
          <w:bCs/>
          <w:color w:val="auto"/>
          <w:sz w:val="32"/>
          <w:szCs w:val="32"/>
        </w:rPr>
        <w:t>国有资产占用情况</w:t>
      </w:r>
      <w:r>
        <w:rPr>
          <w:rFonts w:hint="eastAsia" w:eastAsia="仿宋_GB2312"/>
          <w:b/>
          <w:bCs/>
          <w:color w:val="auto"/>
          <w:sz w:val="32"/>
          <w:szCs w:val="32"/>
        </w:rPr>
        <w:t>:</w:t>
      </w:r>
      <w:r>
        <w:rPr>
          <w:rFonts w:hint="eastAsia" w:ascii="仿宋_GB2312" w:hAnsi="仿宋_GB2312" w:eastAsia="仿宋_GB2312"/>
          <w:color w:val="auto"/>
          <w:sz w:val="32"/>
        </w:rPr>
        <w:t>截至2017年12月31日，本部门共有车</w:t>
      </w:r>
      <w:r>
        <w:rPr>
          <w:rFonts w:hint="eastAsia" w:ascii="仿宋_GB2312" w:hAnsi="仿宋_GB2312" w:eastAsia="仿宋_GB2312"/>
          <w:color w:val="auto"/>
          <w:sz w:val="32"/>
          <w:szCs w:val="22"/>
        </w:rPr>
        <w:t>辆</w:t>
      </w:r>
      <w:r>
        <w:rPr>
          <w:rFonts w:hint="eastAsia" w:ascii="仿宋_GB2312" w:hAnsi="仿宋_GB2312" w:eastAsia="仿宋_GB2312"/>
          <w:color w:val="auto"/>
          <w:sz w:val="32"/>
          <w:szCs w:val="22"/>
          <w:lang w:val="en-US" w:eastAsia="zh-CN"/>
        </w:rPr>
        <w:t>1</w:t>
      </w:r>
      <w:r>
        <w:rPr>
          <w:rFonts w:hint="eastAsia" w:ascii="仿宋_GB2312" w:hAnsi="仿宋_GB2312" w:eastAsia="仿宋_GB2312"/>
          <w:color w:val="auto"/>
          <w:sz w:val="32"/>
          <w:szCs w:val="22"/>
        </w:rPr>
        <w:t>辆，其</w:t>
      </w:r>
      <w:r>
        <w:rPr>
          <w:rFonts w:hint="eastAsia" w:ascii="仿宋_GB2312" w:hAnsi="仿宋_GB2312" w:eastAsia="仿宋_GB2312"/>
          <w:color w:val="auto"/>
          <w:sz w:val="32"/>
        </w:rPr>
        <w:t>中，一般公务用车</w:t>
      </w:r>
      <w:r>
        <w:rPr>
          <w:rFonts w:hint="eastAsia" w:ascii="仿宋_GB2312" w:hAnsi="仿宋" w:eastAsia="仿宋_GB2312"/>
          <w:color w:val="auto"/>
          <w:sz w:val="32"/>
          <w:szCs w:val="32"/>
          <w:lang w:val="en-US" w:eastAsia="zh-CN"/>
        </w:rPr>
        <w:t>1</w:t>
      </w:r>
      <w:r>
        <w:rPr>
          <w:rFonts w:hint="eastAsia" w:ascii="仿宋_GB2312" w:hAnsi="仿宋_GB2312" w:eastAsia="仿宋_GB2312"/>
          <w:color w:val="auto"/>
          <w:sz w:val="32"/>
        </w:rPr>
        <w:t>辆；单位价值50万元以上通用设备</w:t>
      </w:r>
      <w:r>
        <w:rPr>
          <w:rFonts w:hint="eastAsia" w:ascii="仿宋_GB2312" w:hAnsi="仿宋" w:eastAsia="仿宋_GB2312"/>
          <w:color w:val="auto"/>
          <w:sz w:val="32"/>
          <w:szCs w:val="32"/>
          <w:lang w:val="en-US" w:eastAsia="zh-CN"/>
        </w:rPr>
        <w:t>0</w:t>
      </w:r>
      <w:r>
        <w:rPr>
          <w:rFonts w:hint="eastAsia" w:ascii="仿宋_GB2312" w:hAnsi="仿宋_GB2312" w:eastAsia="仿宋_GB2312"/>
          <w:color w:val="auto"/>
          <w:sz w:val="32"/>
        </w:rPr>
        <w:t>台（套），单价100万元以上专用设备</w:t>
      </w:r>
      <w:r>
        <w:rPr>
          <w:rFonts w:hint="eastAsia" w:ascii="仿宋_GB2312" w:hAnsi="仿宋" w:eastAsia="仿宋_GB2312"/>
          <w:color w:val="auto"/>
          <w:sz w:val="32"/>
          <w:szCs w:val="32"/>
          <w:lang w:val="en-US" w:eastAsia="zh-CN"/>
        </w:rPr>
        <w:t>0</w:t>
      </w:r>
      <w:r>
        <w:rPr>
          <w:rFonts w:hint="eastAsia" w:ascii="仿宋_GB2312" w:hAnsi="仿宋_GB2312" w:eastAsia="仿宋_GB2312"/>
          <w:color w:val="auto"/>
          <w:sz w:val="32"/>
        </w:rPr>
        <w:t>台（套）。</w:t>
      </w:r>
    </w:p>
    <w:tbl>
      <w:tblPr>
        <w:tblStyle w:val="6"/>
        <w:tblW w:w="8900" w:type="dxa"/>
        <w:tblInd w:w="93" w:type="dxa"/>
        <w:tblLayout w:type="fixed"/>
        <w:tblCellMar>
          <w:top w:w="0" w:type="dxa"/>
          <w:left w:w="108" w:type="dxa"/>
          <w:bottom w:w="0" w:type="dxa"/>
          <w:right w:w="108" w:type="dxa"/>
        </w:tblCellMar>
      </w:tblPr>
      <w:tblGrid>
        <w:gridCol w:w="3449"/>
        <w:gridCol w:w="2081"/>
        <w:gridCol w:w="3370"/>
      </w:tblGrid>
      <w:tr>
        <w:tblPrEx>
          <w:tblLayout w:type="fixed"/>
          <w:tblCellMar>
            <w:top w:w="0" w:type="dxa"/>
            <w:left w:w="108" w:type="dxa"/>
            <w:bottom w:w="0" w:type="dxa"/>
            <w:right w:w="108" w:type="dxa"/>
          </w:tblCellMar>
        </w:tblPrEx>
        <w:trPr>
          <w:trHeight w:val="575" w:hRule="atLeast"/>
        </w:trPr>
        <w:tc>
          <w:tcPr>
            <w:tcW w:w="8900" w:type="dxa"/>
            <w:gridSpan w:val="3"/>
            <w:tcBorders>
              <w:top w:val="nil"/>
              <w:left w:val="nil"/>
              <w:bottom w:val="nil"/>
              <w:right w:val="nil"/>
            </w:tcBorders>
            <w:vAlign w:val="center"/>
          </w:tcPr>
          <w:p>
            <w:pPr>
              <w:widowControl/>
              <w:spacing w:line="560" w:lineRule="exact"/>
              <w:ind w:firstLine="562" w:firstLineChars="200"/>
              <w:jc w:val="center"/>
              <w:rPr>
                <w:rFonts w:ascii="宋体" w:hAnsi="宋体" w:cs="宋体"/>
                <w:b/>
                <w:bCs/>
                <w:color w:val="auto"/>
                <w:kern w:val="0"/>
                <w:sz w:val="28"/>
                <w:szCs w:val="28"/>
              </w:rPr>
            </w:pPr>
            <w:r>
              <w:rPr>
                <w:rFonts w:hint="eastAsia" w:ascii="宋体" w:hAnsi="宋体" w:cs="宋体"/>
                <w:b/>
                <w:bCs/>
                <w:color w:val="auto"/>
                <w:kern w:val="0"/>
                <w:sz w:val="28"/>
                <w:szCs w:val="28"/>
                <w:lang w:eastAsia="zh-CN"/>
              </w:rPr>
              <w:t>霸州人民政府信访局</w:t>
            </w:r>
            <w:r>
              <w:rPr>
                <w:rFonts w:hint="eastAsia" w:ascii="宋体" w:hAnsi="宋体" w:cs="宋体"/>
                <w:b/>
                <w:bCs/>
                <w:color w:val="auto"/>
                <w:kern w:val="0"/>
                <w:sz w:val="28"/>
                <w:szCs w:val="28"/>
              </w:rPr>
              <w:t>固定资产占用情况表</w:t>
            </w:r>
          </w:p>
        </w:tc>
      </w:tr>
      <w:tr>
        <w:tblPrEx>
          <w:tblLayout w:type="fixed"/>
          <w:tblCellMar>
            <w:top w:w="0" w:type="dxa"/>
            <w:left w:w="108" w:type="dxa"/>
            <w:bottom w:w="0" w:type="dxa"/>
            <w:right w:w="108" w:type="dxa"/>
          </w:tblCellMar>
        </w:tblPrEx>
        <w:trPr>
          <w:trHeight w:val="493" w:hRule="atLeast"/>
        </w:trPr>
        <w:tc>
          <w:tcPr>
            <w:tcW w:w="5530" w:type="dxa"/>
            <w:gridSpan w:val="2"/>
            <w:tcBorders>
              <w:top w:val="nil"/>
              <w:left w:val="nil"/>
              <w:bottom w:val="nil"/>
              <w:right w:val="nil"/>
            </w:tcBorders>
            <w:vAlign w:val="center"/>
          </w:tcPr>
          <w:p>
            <w:pPr>
              <w:rPr>
                <w:rFonts w:hint="eastAsia" w:ascii="仿宋" w:hAnsi="仿宋" w:eastAsia="仿宋" w:cs="仿宋"/>
                <w:color w:val="auto"/>
                <w:sz w:val="24"/>
                <w:szCs w:val="24"/>
                <w:lang w:eastAsia="zh-CN"/>
              </w:rPr>
            </w:pPr>
            <w:r>
              <w:rPr>
                <w:rFonts w:hint="eastAsia" w:ascii="仿宋" w:hAnsi="仿宋" w:eastAsia="仿宋" w:cs="仿宋"/>
                <w:color w:val="auto"/>
                <w:sz w:val="24"/>
                <w:szCs w:val="24"/>
              </w:rPr>
              <w:t>编制部门：</w:t>
            </w:r>
            <w:r>
              <w:rPr>
                <w:rFonts w:hint="eastAsia" w:ascii="仿宋" w:hAnsi="仿宋" w:eastAsia="仿宋" w:cs="仿宋"/>
                <w:color w:val="auto"/>
                <w:sz w:val="24"/>
                <w:szCs w:val="24"/>
                <w:lang w:val="en-US" w:eastAsia="zh-CN"/>
              </w:rPr>
              <w:t>107</w:t>
            </w:r>
            <w:r>
              <w:rPr>
                <w:rFonts w:hint="eastAsia" w:ascii="仿宋" w:hAnsi="仿宋" w:eastAsia="仿宋" w:cs="仿宋"/>
                <w:color w:val="auto"/>
                <w:sz w:val="24"/>
                <w:szCs w:val="24"/>
                <w:lang w:eastAsia="zh-CN"/>
              </w:rPr>
              <w:t>霸州人民政府信访局</w:t>
            </w:r>
          </w:p>
        </w:tc>
        <w:tc>
          <w:tcPr>
            <w:tcW w:w="3370" w:type="dxa"/>
            <w:tcBorders>
              <w:top w:val="nil"/>
              <w:left w:val="nil"/>
              <w:bottom w:val="nil"/>
              <w:right w:val="nil"/>
            </w:tcBorders>
            <w:vAlign w:val="center"/>
          </w:tcPr>
          <w:p>
            <w:pPr>
              <w:rPr>
                <w:rFonts w:hint="eastAsia" w:ascii="仿宋" w:hAnsi="仿宋" w:eastAsia="仿宋" w:cs="仿宋"/>
                <w:color w:val="auto"/>
                <w:sz w:val="24"/>
                <w:szCs w:val="24"/>
              </w:rPr>
            </w:pPr>
            <w:r>
              <w:rPr>
                <w:rFonts w:hint="eastAsia" w:ascii="仿宋" w:hAnsi="仿宋" w:eastAsia="仿宋" w:cs="仿宋"/>
                <w:color w:val="auto"/>
                <w:sz w:val="24"/>
                <w:szCs w:val="24"/>
              </w:rPr>
              <w:t>截止时间：2017年12月31日</w:t>
            </w:r>
          </w:p>
        </w:tc>
      </w:tr>
      <w:tr>
        <w:tblPrEx>
          <w:tblLayout w:type="fixed"/>
          <w:tblCellMar>
            <w:top w:w="0" w:type="dxa"/>
            <w:left w:w="108" w:type="dxa"/>
            <w:bottom w:w="0" w:type="dxa"/>
            <w:right w:w="108" w:type="dxa"/>
          </w:tblCellMar>
        </w:tblPrEx>
        <w:trPr>
          <w:trHeight w:val="587" w:hRule="atLeast"/>
        </w:trPr>
        <w:tc>
          <w:tcPr>
            <w:tcW w:w="34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ind w:left="0" w:leftChars="0" w:right="0" w:rightChars="0" w:firstLine="0" w:firstLineChars="0"/>
              <w:jc w:val="center"/>
              <w:rPr>
                <w:b/>
                <w:bCs/>
                <w:color w:val="auto"/>
                <w:kern w:val="0"/>
                <w:sz w:val="22"/>
              </w:rPr>
            </w:pPr>
            <w:r>
              <w:rPr>
                <w:b/>
                <w:bCs/>
                <w:color w:val="auto"/>
                <w:kern w:val="0"/>
                <w:sz w:val="22"/>
              </w:rPr>
              <w:t>项  目</w:t>
            </w:r>
          </w:p>
        </w:tc>
        <w:tc>
          <w:tcPr>
            <w:tcW w:w="2081" w:type="dxa"/>
            <w:tcBorders>
              <w:top w:val="single" w:color="auto" w:sz="4" w:space="0"/>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b/>
                <w:bCs/>
                <w:color w:val="auto"/>
                <w:kern w:val="0"/>
                <w:sz w:val="22"/>
              </w:rPr>
            </w:pPr>
            <w:r>
              <w:rPr>
                <w:b/>
                <w:bCs/>
                <w:color w:val="auto"/>
                <w:kern w:val="0"/>
                <w:sz w:val="22"/>
              </w:rPr>
              <w:t>数量</w:t>
            </w:r>
          </w:p>
        </w:tc>
        <w:tc>
          <w:tcPr>
            <w:tcW w:w="3370" w:type="dxa"/>
            <w:tcBorders>
              <w:top w:val="single" w:color="auto" w:sz="4" w:space="0"/>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b/>
                <w:bCs/>
                <w:color w:val="auto"/>
                <w:kern w:val="0"/>
                <w:sz w:val="22"/>
              </w:rPr>
            </w:pPr>
            <w:r>
              <w:rPr>
                <w:b/>
                <w:bCs/>
                <w:color w:val="auto"/>
                <w:kern w:val="0"/>
                <w:sz w:val="22"/>
              </w:rPr>
              <w:t>价值（金额单位：万元）</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jc w:val="both"/>
              <w:rPr>
                <w:color w:val="auto"/>
                <w:kern w:val="0"/>
                <w:sz w:val="22"/>
              </w:rPr>
            </w:pPr>
            <w:r>
              <w:rPr>
                <w:rFonts w:hint="eastAsia"/>
                <w:color w:val="auto"/>
                <w:kern w:val="0"/>
                <w:sz w:val="22"/>
              </w:rPr>
              <w:t>资产总额</w:t>
            </w:r>
          </w:p>
        </w:tc>
        <w:tc>
          <w:tcPr>
            <w:tcW w:w="2081"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color w:val="auto"/>
                <w:kern w:val="0"/>
                <w:sz w:val="22"/>
              </w:rPr>
            </w:pPr>
            <w:r>
              <w:rPr>
                <w:color w:val="auto"/>
                <w:kern w:val="0"/>
                <w:sz w:val="22"/>
              </w:rPr>
              <w:t>——</w:t>
            </w:r>
          </w:p>
        </w:tc>
        <w:tc>
          <w:tcPr>
            <w:tcW w:w="3370"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eastAsia="宋体"/>
                <w:color w:val="auto"/>
                <w:kern w:val="0"/>
                <w:sz w:val="22"/>
                <w:lang w:val="en-US" w:eastAsia="zh-CN"/>
              </w:rPr>
            </w:pPr>
            <w:r>
              <w:rPr>
                <w:rFonts w:hint="eastAsia"/>
                <w:color w:val="auto"/>
                <w:kern w:val="0"/>
                <w:sz w:val="22"/>
                <w:lang w:val="en-US" w:eastAsia="zh-CN"/>
              </w:rPr>
              <w:t>606.87</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jc w:val="both"/>
              <w:rPr>
                <w:color w:val="auto"/>
                <w:kern w:val="0"/>
                <w:sz w:val="22"/>
              </w:rPr>
            </w:pPr>
            <w:r>
              <w:rPr>
                <w:rFonts w:hint="eastAsia"/>
                <w:color w:val="auto"/>
                <w:kern w:val="0"/>
                <w:sz w:val="22"/>
              </w:rPr>
              <w:t>1、房屋（平方米）</w:t>
            </w:r>
          </w:p>
        </w:tc>
        <w:tc>
          <w:tcPr>
            <w:tcW w:w="2081"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eastAsia="宋体"/>
                <w:color w:val="auto"/>
                <w:kern w:val="0"/>
                <w:sz w:val="22"/>
                <w:lang w:val="en-US" w:eastAsia="zh-CN"/>
              </w:rPr>
            </w:pPr>
            <w:r>
              <w:rPr>
                <w:rFonts w:hint="eastAsia"/>
                <w:color w:val="auto"/>
                <w:kern w:val="0"/>
                <w:sz w:val="22"/>
                <w:lang w:val="en-US" w:eastAsia="zh-CN"/>
              </w:rPr>
              <w:t>1511</w:t>
            </w:r>
          </w:p>
        </w:tc>
        <w:tc>
          <w:tcPr>
            <w:tcW w:w="3370"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eastAsia="宋体"/>
                <w:color w:val="auto"/>
                <w:kern w:val="0"/>
                <w:sz w:val="22"/>
                <w:lang w:val="en-US" w:eastAsia="zh-CN"/>
              </w:rPr>
            </w:pPr>
            <w:r>
              <w:rPr>
                <w:rFonts w:hint="eastAsia"/>
                <w:color w:val="auto"/>
                <w:kern w:val="0"/>
                <w:sz w:val="22"/>
                <w:lang w:val="en-US" w:eastAsia="zh-CN"/>
              </w:rPr>
              <w:t>377.75</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jc w:val="both"/>
              <w:rPr>
                <w:color w:val="auto"/>
                <w:kern w:val="0"/>
                <w:sz w:val="22"/>
              </w:rPr>
            </w:pPr>
            <w:r>
              <w:rPr>
                <w:color w:val="auto"/>
                <w:kern w:val="0"/>
                <w:sz w:val="22"/>
              </w:rPr>
              <w:t xml:space="preserve">  </w:t>
            </w:r>
            <w:r>
              <w:rPr>
                <w:rFonts w:hint="eastAsia"/>
                <w:color w:val="auto"/>
                <w:kern w:val="0"/>
                <w:sz w:val="22"/>
              </w:rPr>
              <w:t xml:space="preserve">  其中：办公用房（平方米）</w:t>
            </w:r>
          </w:p>
        </w:tc>
        <w:tc>
          <w:tcPr>
            <w:tcW w:w="2081"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eastAsia="宋体"/>
                <w:color w:val="auto"/>
                <w:kern w:val="0"/>
                <w:sz w:val="22"/>
                <w:lang w:eastAsia="zh-CN"/>
              </w:rPr>
            </w:pPr>
            <w:r>
              <w:rPr>
                <w:rFonts w:hint="eastAsia"/>
                <w:color w:val="auto"/>
                <w:kern w:val="0"/>
                <w:sz w:val="22"/>
                <w:lang w:eastAsia="zh-CN"/>
              </w:rPr>
              <w:t>1511</w:t>
            </w:r>
          </w:p>
        </w:tc>
        <w:tc>
          <w:tcPr>
            <w:tcW w:w="3370"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color w:val="auto"/>
                <w:kern w:val="0"/>
                <w:sz w:val="22"/>
              </w:rPr>
            </w:pPr>
            <w:r>
              <w:rPr>
                <w:rFonts w:hint="eastAsia"/>
                <w:color w:val="auto"/>
                <w:kern w:val="0"/>
                <w:sz w:val="22"/>
              </w:rPr>
              <w:t>377.75</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jc w:val="both"/>
              <w:rPr>
                <w:color w:val="auto"/>
                <w:kern w:val="0"/>
                <w:sz w:val="22"/>
              </w:rPr>
            </w:pPr>
            <w:r>
              <w:rPr>
                <w:rFonts w:hint="eastAsia"/>
                <w:color w:val="auto"/>
                <w:kern w:val="0"/>
                <w:sz w:val="22"/>
              </w:rPr>
              <w:t>2、车辆（台、辆）</w:t>
            </w:r>
          </w:p>
        </w:tc>
        <w:tc>
          <w:tcPr>
            <w:tcW w:w="2081"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eastAsia="宋体"/>
                <w:color w:val="auto"/>
                <w:kern w:val="0"/>
                <w:sz w:val="22"/>
                <w:lang w:val="en-US" w:eastAsia="zh-CN"/>
              </w:rPr>
            </w:pPr>
            <w:r>
              <w:rPr>
                <w:rFonts w:hint="eastAsia"/>
                <w:color w:val="auto"/>
                <w:kern w:val="0"/>
                <w:sz w:val="22"/>
                <w:lang w:val="en-US" w:eastAsia="zh-CN"/>
              </w:rPr>
              <w:t>1</w:t>
            </w:r>
          </w:p>
        </w:tc>
        <w:tc>
          <w:tcPr>
            <w:tcW w:w="3370"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eastAsia="宋体"/>
                <w:color w:val="auto"/>
                <w:kern w:val="0"/>
                <w:sz w:val="22"/>
                <w:lang w:val="en-US" w:eastAsia="zh-CN"/>
              </w:rPr>
            </w:pPr>
            <w:r>
              <w:rPr>
                <w:rFonts w:hint="eastAsia"/>
                <w:color w:val="auto"/>
                <w:kern w:val="0"/>
                <w:sz w:val="22"/>
                <w:lang w:val="en-US" w:eastAsia="zh-CN"/>
              </w:rPr>
              <w:t>17.98</w:t>
            </w:r>
          </w:p>
        </w:tc>
      </w:tr>
      <w:tr>
        <w:tblPrEx>
          <w:tblLayout w:type="fixed"/>
          <w:tblCellMar>
            <w:top w:w="0" w:type="dxa"/>
            <w:left w:w="108" w:type="dxa"/>
            <w:bottom w:w="0" w:type="dxa"/>
            <w:right w:w="108" w:type="dxa"/>
          </w:tblCellMar>
        </w:tblPrEx>
        <w:trPr>
          <w:trHeight w:val="571"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jc w:val="both"/>
              <w:rPr>
                <w:color w:val="auto"/>
                <w:kern w:val="0"/>
                <w:sz w:val="22"/>
              </w:rPr>
            </w:pPr>
            <w:r>
              <w:rPr>
                <w:rFonts w:hint="eastAsia"/>
                <w:color w:val="auto"/>
                <w:kern w:val="0"/>
                <w:sz w:val="22"/>
              </w:rPr>
              <w:t>3、单价在50万元以上的设备</w:t>
            </w:r>
          </w:p>
        </w:tc>
        <w:tc>
          <w:tcPr>
            <w:tcW w:w="2081"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eastAsia="宋体"/>
                <w:color w:val="auto"/>
                <w:kern w:val="0"/>
                <w:sz w:val="22"/>
                <w:lang w:eastAsia="zh-CN"/>
              </w:rPr>
            </w:pPr>
            <w:r>
              <w:rPr>
                <w:rFonts w:hint="eastAsia"/>
                <w:color w:val="auto"/>
                <w:kern w:val="0"/>
                <w:sz w:val="22"/>
                <w:lang w:eastAsia="zh-CN"/>
              </w:rPr>
              <w:t>——</w:t>
            </w:r>
          </w:p>
        </w:tc>
        <w:tc>
          <w:tcPr>
            <w:tcW w:w="3370"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eastAsia="宋体"/>
                <w:color w:val="auto"/>
                <w:kern w:val="0"/>
                <w:sz w:val="22"/>
                <w:lang w:eastAsia="zh-CN"/>
              </w:rPr>
            </w:pPr>
            <w:r>
              <w:rPr>
                <w:rFonts w:hint="eastAsia"/>
                <w:color w:val="auto"/>
                <w:kern w:val="0"/>
                <w:sz w:val="22"/>
                <w:lang w:eastAsia="zh-CN"/>
              </w:rPr>
              <w:t>——</w:t>
            </w:r>
          </w:p>
        </w:tc>
      </w:tr>
      <w:tr>
        <w:tblPrEx>
          <w:tblLayout w:type="fixed"/>
          <w:tblCellMar>
            <w:top w:w="0" w:type="dxa"/>
            <w:left w:w="108" w:type="dxa"/>
            <w:bottom w:w="0" w:type="dxa"/>
            <w:right w:w="108" w:type="dxa"/>
          </w:tblCellMar>
        </w:tblPrEx>
        <w:trPr>
          <w:trHeight w:val="613" w:hRule="atLeast"/>
        </w:trPr>
        <w:tc>
          <w:tcPr>
            <w:tcW w:w="3449" w:type="dxa"/>
            <w:tcBorders>
              <w:top w:val="nil"/>
              <w:left w:val="single" w:color="auto" w:sz="4" w:space="0"/>
              <w:bottom w:val="single" w:color="auto" w:sz="4" w:space="0"/>
              <w:right w:val="single" w:color="auto" w:sz="4" w:space="0"/>
            </w:tcBorders>
            <w:vAlign w:val="center"/>
          </w:tcPr>
          <w:p>
            <w:pPr>
              <w:widowControl/>
              <w:spacing w:line="560" w:lineRule="exact"/>
              <w:ind w:firstLine="440" w:firstLineChars="200"/>
              <w:jc w:val="both"/>
              <w:rPr>
                <w:color w:val="auto"/>
                <w:kern w:val="0"/>
                <w:sz w:val="22"/>
              </w:rPr>
            </w:pPr>
            <w:r>
              <w:rPr>
                <w:rFonts w:hint="eastAsia"/>
                <w:color w:val="auto"/>
                <w:kern w:val="0"/>
                <w:sz w:val="22"/>
              </w:rPr>
              <w:t>4、其他固定资产</w:t>
            </w:r>
          </w:p>
        </w:tc>
        <w:tc>
          <w:tcPr>
            <w:tcW w:w="2081"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eastAsia="宋体"/>
                <w:color w:val="auto"/>
                <w:kern w:val="0"/>
                <w:sz w:val="22"/>
                <w:lang w:eastAsia="zh-CN"/>
              </w:rPr>
            </w:pPr>
            <w:r>
              <w:rPr>
                <w:rFonts w:hint="eastAsia"/>
                <w:color w:val="auto"/>
                <w:kern w:val="0"/>
                <w:sz w:val="22"/>
                <w:lang w:eastAsia="zh-CN"/>
              </w:rPr>
              <w:t>——</w:t>
            </w:r>
          </w:p>
        </w:tc>
        <w:tc>
          <w:tcPr>
            <w:tcW w:w="3370" w:type="dxa"/>
            <w:tcBorders>
              <w:top w:val="nil"/>
              <w:left w:val="nil"/>
              <w:bottom w:val="single" w:color="auto" w:sz="4" w:space="0"/>
              <w:right w:val="single" w:color="auto" w:sz="4" w:space="0"/>
            </w:tcBorders>
            <w:vAlign w:val="center"/>
          </w:tcPr>
          <w:p>
            <w:pPr>
              <w:widowControl/>
              <w:spacing w:line="560" w:lineRule="exact"/>
              <w:ind w:left="0" w:leftChars="0" w:right="0" w:rightChars="0" w:firstLine="0" w:firstLineChars="0"/>
              <w:jc w:val="center"/>
              <w:rPr>
                <w:rFonts w:hint="eastAsia" w:eastAsia="宋体"/>
                <w:color w:val="auto"/>
                <w:kern w:val="0"/>
                <w:sz w:val="22"/>
                <w:lang w:val="en-US" w:eastAsia="zh-CN"/>
              </w:rPr>
            </w:pPr>
            <w:r>
              <w:rPr>
                <w:rFonts w:hint="eastAsia"/>
                <w:color w:val="auto"/>
                <w:kern w:val="0"/>
                <w:sz w:val="22"/>
                <w:lang w:val="en-US" w:eastAsia="zh-CN"/>
              </w:rPr>
              <w:t>211.14</w:t>
            </w:r>
          </w:p>
        </w:tc>
      </w:tr>
    </w:tbl>
    <w:p>
      <w:pPr>
        <w:widowControl/>
        <w:numPr>
          <w:ilvl w:val="0"/>
          <w:numId w:val="2"/>
        </w:numPr>
        <w:spacing w:line="560" w:lineRule="exact"/>
        <w:ind w:firstLine="643" w:firstLineChars="200"/>
        <w:rPr>
          <w:rFonts w:hint="eastAsia" w:eastAsia="仿宋_GB2312"/>
          <w:b/>
          <w:bCs/>
          <w:color w:val="auto"/>
          <w:sz w:val="32"/>
          <w:szCs w:val="32"/>
        </w:rPr>
      </w:pPr>
      <w:r>
        <w:rPr>
          <w:rFonts w:eastAsia="仿宋_GB2312"/>
          <w:b/>
          <w:bCs/>
          <w:color w:val="auto"/>
          <w:sz w:val="32"/>
          <w:szCs w:val="32"/>
        </w:rPr>
        <w:t>其他需要说明的情况</w:t>
      </w:r>
      <w:r>
        <w:rPr>
          <w:rFonts w:hint="eastAsia" w:eastAsia="仿宋_GB2312"/>
          <w:b/>
          <w:bCs/>
          <w:color w:val="auto"/>
          <w:sz w:val="32"/>
          <w:szCs w:val="32"/>
        </w:rPr>
        <w:t>:</w:t>
      </w:r>
    </w:p>
    <w:p>
      <w:pPr>
        <w:widowControl/>
        <w:spacing w:line="560" w:lineRule="exact"/>
        <w:ind w:firstLine="640" w:firstLineChars="200"/>
        <w:rPr>
          <w:rFonts w:hint="eastAsia" w:eastAsia="仿宋_GB2312"/>
          <w:color w:val="auto"/>
          <w:kern w:val="0"/>
          <w:sz w:val="32"/>
          <w:szCs w:val="32"/>
          <w:lang w:eastAsia="zh-CN"/>
        </w:rPr>
      </w:pPr>
      <w:r>
        <w:rPr>
          <w:rFonts w:hint="eastAsia" w:eastAsia="仿宋_GB2312"/>
          <w:color w:val="auto"/>
          <w:kern w:val="0"/>
          <w:sz w:val="32"/>
          <w:szCs w:val="32"/>
        </w:rPr>
        <w:t>本部门本年度无其他需要说明的情况</w:t>
      </w:r>
      <w:r>
        <w:rPr>
          <w:rFonts w:hint="eastAsia" w:eastAsia="仿宋_GB2312"/>
          <w:color w:val="auto"/>
          <w:kern w:val="0"/>
          <w:sz w:val="32"/>
          <w:szCs w:val="32"/>
          <w:lang w:eastAsia="zh-CN"/>
        </w:rPr>
        <w:t>。</w:t>
      </w:r>
    </w:p>
    <w:p>
      <w:pPr>
        <w:autoSpaceDE w:val="0"/>
        <w:autoSpaceDN w:val="0"/>
        <w:adjustRightInd w:val="0"/>
        <w:spacing w:line="560" w:lineRule="exact"/>
        <w:ind w:firstLine="640" w:firstLineChars="200"/>
        <w:rPr>
          <w:rFonts w:ascii="仿宋" w:hAnsi="仿宋" w:eastAsia="仿宋" w:cs="仿宋"/>
          <w:color w:val="auto"/>
          <w:sz w:val="32"/>
          <w:szCs w:val="32"/>
        </w:rPr>
      </w:pPr>
      <w:r>
        <w:rPr>
          <w:rFonts w:hint="eastAsia" w:eastAsia="黑体"/>
          <w:color w:val="auto"/>
          <w:sz w:val="32"/>
          <w:szCs w:val="32"/>
        </w:rPr>
        <w:t>四、</w:t>
      </w:r>
      <w:r>
        <w:rPr>
          <w:rFonts w:eastAsia="黑体"/>
          <w:color w:val="auto"/>
          <w:sz w:val="32"/>
          <w:szCs w:val="32"/>
        </w:rPr>
        <w:t>名词解释</w:t>
      </w:r>
    </w:p>
    <w:p>
      <w:pPr>
        <w:widowControl/>
        <w:spacing w:line="56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（一）财政拨款收入：本年度从本级财政部门取得的财政拨款，包括一般公共预算财政拨款和政府性基金预算财政拨款。</w:t>
      </w:r>
    </w:p>
    <w:p>
      <w:pPr>
        <w:widowControl/>
        <w:spacing w:line="56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（二）事业收入：指事业单位开展专业业务活动及辅助活动所取得的收入。</w:t>
      </w:r>
    </w:p>
    <w:p>
      <w:pPr>
        <w:widowControl/>
        <w:spacing w:line="56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（三）其他收入：指除上述“财政拨款收入”、“事业收入”、“经营收入”等以外的收入。</w:t>
      </w:r>
    </w:p>
    <w:p>
      <w:pPr>
        <w:widowControl/>
        <w:spacing w:line="56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（五）年初结转和结余：指以前年度尚未完成、结转到本年仍按原规定用途继续使用的资金，或项目已完成等产生的结余资金。</w:t>
      </w:r>
    </w:p>
    <w:p>
      <w:pPr>
        <w:widowControl/>
        <w:spacing w:line="56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（六）结余分配：指事业单位按照事业单位会计制度的规定从非财政补助结余中分配的事业基金和职工福利基金等。</w:t>
      </w:r>
    </w:p>
    <w:p>
      <w:pPr>
        <w:widowControl/>
        <w:spacing w:line="56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（七）年末结转和结余：指单位按有关规定结转到下年或以后年度继续使用的资金，或项目已完成等产生的结余资金。</w:t>
      </w:r>
    </w:p>
    <w:p>
      <w:pPr>
        <w:widowControl/>
        <w:spacing w:line="56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（八）基本支出：填列单位为保障机构正常运转、完成日常工作任务而发生的各项支出。</w:t>
      </w:r>
    </w:p>
    <w:p>
      <w:pPr>
        <w:widowControl/>
        <w:spacing w:line="560" w:lineRule="exact"/>
        <w:ind w:firstLine="640" w:firstLineChars="200"/>
        <w:rPr>
          <w:rFonts w:hint="eastAsia" w:eastAsia="仿宋_GB2312"/>
          <w:color w:val="auto"/>
          <w:kern w:val="0"/>
          <w:sz w:val="32"/>
          <w:szCs w:val="32"/>
        </w:rPr>
      </w:pPr>
      <w:r>
        <w:rPr>
          <w:rFonts w:hint="eastAsia" w:eastAsia="仿宋_GB2312"/>
          <w:color w:val="auto"/>
          <w:kern w:val="0"/>
          <w:sz w:val="32"/>
          <w:szCs w:val="32"/>
        </w:rPr>
        <w:t>（九）项目支出：填列单位为完成特定的行政工作任务或事业发展目标，在基本支出之外发生的各项支出</w:t>
      </w:r>
    </w:p>
    <w:p>
      <w:pPr>
        <w:widowControl/>
        <w:spacing w:line="56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widowControl/>
        <w:spacing w:line="56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line="56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（十三）其他交通费用：填列单位除公务用车运行维护费以外的其他交通费用。如飞机、船舶等的燃料费、维修费、过桥过路费、保险费、出租车费用、公务交通补贴等。</w:t>
      </w:r>
    </w:p>
    <w:p>
      <w:pPr>
        <w:widowControl/>
        <w:spacing w:line="56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（十四）公务用车购置：填列单位公务用车车辆购置支出（含车辆购置税）。</w:t>
      </w:r>
    </w:p>
    <w:p>
      <w:pPr>
        <w:widowControl/>
        <w:spacing w:line="560" w:lineRule="exact"/>
        <w:ind w:firstLine="640" w:firstLineChars="200"/>
        <w:rPr>
          <w:rFonts w:hint="eastAsia" w:eastAsia="仿宋_GB2312"/>
          <w:color w:val="auto"/>
          <w:kern w:val="0"/>
          <w:sz w:val="32"/>
          <w:szCs w:val="32"/>
        </w:rPr>
      </w:pPr>
      <w:r>
        <w:rPr>
          <w:rFonts w:hint="eastAsia" w:eastAsia="仿宋_GB2312"/>
          <w:color w:val="auto"/>
          <w:kern w:val="0"/>
          <w:sz w:val="32"/>
          <w:szCs w:val="32"/>
        </w:rPr>
        <w:t>（十五）其他交通工具购置：填列单位除公务用车外的其他各类交通工具（如船舶、飞机）购置支出（含车辆购置税）。</w:t>
      </w:r>
    </w:p>
    <w:p>
      <w:pPr>
        <w:widowControl/>
        <w:spacing w:line="560" w:lineRule="exact"/>
        <w:ind w:firstLine="640" w:firstLineChars="200"/>
        <w:rPr>
          <w:color w:val="auto"/>
        </w:rPr>
      </w:pPr>
      <w:r>
        <w:rPr>
          <w:rFonts w:hint="eastAsia" w:eastAsia="仿宋_GB2312"/>
          <w:color w:val="auto"/>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rPr>
          <w:color w:val="auto"/>
        </w:rPr>
      </w:pPr>
    </w:p>
    <w:sectPr>
      <w:headerReference r:id="rId3" w:type="default"/>
      <w:headerReference r:id="rId4" w:type="even"/>
      <w:footerReference r:id="rId5" w:type="even"/>
      <w:pgSz w:w="11906" w:h="16838"/>
      <w:pgMar w:top="1440" w:right="1701" w:bottom="1440"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39DFF8"/>
    <w:multiLevelType w:val="singleLevel"/>
    <w:tmpl w:val="9B39DFF8"/>
    <w:lvl w:ilvl="0" w:tentative="0">
      <w:start w:val="4"/>
      <w:numFmt w:val="decimal"/>
      <w:suff w:val="nothing"/>
      <w:lvlText w:val="%1、"/>
      <w:lvlJc w:val="left"/>
    </w:lvl>
  </w:abstractNum>
  <w:abstractNum w:abstractNumId="1">
    <w:nsid w:val="5F6E5825"/>
    <w:multiLevelType w:val="singleLevel"/>
    <w:tmpl w:val="5F6E5825"/>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4408"/>
    <w:rsid w:val="0003600A"/>
    <w:rsid w:val="00052DDA"/>
    <w:rsid w:val="001B4B48"/>
    <w:rsid w:val="003E7F82"/>
    <w:rsid w:val="00614BE8"/>
    <w:rsid w:val="0063607E"/>
    <w:rsid w:val="007E1EDB"/>
    <w:rsid w:val="00964408"/>
    <w:rsid w:val="00AB2588"/>
    <w:rsid w:val="00CA2D95"/>
    <w:rsid w:val="00EA75CA"/>
    <w:rsid w:val="00F03856"/>
    <w:rsid w:val="00F041F9"/>
    <w:rsid w:val="00F33F54"/>
    <w:rsid w:val="01A23C6B"/>
    <w:rsid w:val="08867E22"/>
    <w:rsid w:val="114D761C"/>
    <w:rsid w:val="1E2758A7"/>
    <w:rsid w:val="2D9E1164"/>
    <w:rsid w:val="2EA34F1F"/>
    <w:rsid w:val="341006E7"/>
    <w:rsid w:val="3B0E600A"/>
    <w:rsid w:val="3F4563A0"/>
    <w:rsid w:val="4D2A2D5C"/>
    <w:rsid w:val="4FE74760"/>
    <w:rsid w:val="526D2E9D"/>
    <w:rsid w:val="534C66FF"/>
    <w:rsid w:val="57D60645"/>
    <w:rsid w:val="58E03C4B"/>
    <w:rsid w:val="6FB32E6E"/>
    <w:rsid w:val="70F44E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8</Pages>
  <Words>636</Words>
  <Characters>3627</Characters>
  <Lines>30</Lines>
  <Paragraphs>8</Paragraphs>
  <TotalTime>194</TotalTime>
  <ScaleCrop>false</ScaleCrop>
  <LinksUpToDate>false</LinksUpToDate>
  <CharactersWithSpaces>4255</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2018-10-09T08:52:00Z</dcterms:created>
  <dc:creator>国库</dc:creator>
  <cp:lastModifiedBy>姚显怡</cp:lastModifiedBy>
  <cp:lastPrinted>2018-10-10T00:45:00Z</cp:lastPrinted>
  <dcterms:modified xsi:type="dcterms:W3CDTF">2019-01-21T09:51:09Z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